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E87F47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40E56" w:rsidRDefault="00940E56" w:rsidP="00940E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940E56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 w:rsidR="00090F36">
        <w:rPr>
          <w:rFonts w:ascii="Times New Roman" w:hAnsi="Times New Roman" w:cs="Times New Roman"/>
          <w:sz w:val="28"/>
          <w:szCs w:val="28"/>
        </w:rPr>
        <w:t>10 545,0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4219">
        <w:rPr>
          <w:rFonts w:ascii="Times New Roman" w:hAnsi="Times New Roman" w:cs="Times New Roman"/>
          <w:sz w:val="28"/>
          <w:szCs w:val="28"/>
        </w:rPr>
        <w:t>0 299,3</w:t>
      </w:r>
      <w:bookmarkStart w:id="0" w:name="_GoBack"/>
      <w:bookmarkEnd w:id="0"/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0E56" w:rsidRPr="00677650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0E56" w:rsidRPr="00677650" w:rsidRDefault="00940E56" w:rsidP="00940E56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 w:rsidR="00090F36" w:rsidRPr="00090F36">
        <w:rPr>
          <w:rFonts w:ascii="Times New Roman" w:hAnsi="Times New Roman" w:cs="Times New Roman"/>
          <w:sz w:val="28"/>
          <w:szCs w:val="28"/>
        </w:rPr>
        <w:t>1 417,9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90F36">
        <w:rPr>
          <w:rFonts w:ascii="Times New Roman" w:hAnsi="Times New Roman" w:cs="Times New Roman"/>
          <w:sz w:val="28"/>
          <w:szCs w:val="28"/>
        </w:rPr>
        <w:t> 172,2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Default="00016A07" w:rsidP="00016A07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03F99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статьи 1: </w:t>
      </w:r>
    </w:p>
    <w:p w:rsidR="00016A07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 xml:space="preserve">а)  в пункте </w:t>
      </w:r>
      <w:r w:rsidR="009D6061">
        <w:rPr>
          <w:rFonts w:ascii="Times New Roman" w:hAnsi="Times New Roman" w:cs="Times New Roman"/>
          <w:sz w:val="28"/>
          <w:szCs w:val="28"/>
        </w:rPr>
        <w:t>2</w:t>
      </w:r>
      <w:r w:rsidRPr="00677650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9D6061">
        <w:rPr>
          <w:rFonts w:ascii="Times New Roman" w:hAnsi="Times New Roman" w:cs="Times New Roman"/>
          <w:sz w:val="28"/>
          <w:szCs w:val="28"/>
        </w:rPr>
        <w:t>160,2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D6061">
        <w:rPr>
          <w:rFonts w:ascii="Times New Roman" w:hAnsi="Times New Roman" w:cs="Times New Roman"/>
          <w:sz w:val="28"/>
          <w:szCs w:val="28"/>
        </w:rPr>
        <w:t>162,3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677650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A07" w:rsidRPr="00B4406F" w:rsidRDefault="009D6061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016A07">
        <w:rPr>
          <w:rFonts w:ascii="Times New Roman" w:hAnsi="Times New Roman" w:cs="Times New Roman"/>
          <w:sz w:val="28"/>
          <w:szCs w:val="28"/>
        </w:rPr>
        <w:t>1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Pr="00456A91" w:rsidRDefault="00016A07" w:rsidP="00016A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16A07" w:rsidRPr="00BB5517" w:rsidRDefault="00016A07" w:rsidP="00016A07">
      <w:pPr>
        <w:pStyle w:val="af"/>
        <w:ind w:left="1416"/>
        <w:jc w:val="right"/>
        <w:rPr>
          <w:b/>
          <w:sz w:val="28"/>
          <w:szCs w:val="28"/>
        </w:rPr>
      </w:pPr>
    </w:p>
    <w:p w:rsidR="00016A07" w:rsidRPr="00BB5517" w:rsidRDefault="00016A07" w:rsidP="00016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16A07" w:rsidRDefault="00016A07" w:rsidP="00016A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016A07" w:rsidRPr="00B6369F" w:rsidTr="001C273B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9E62BE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0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016A07" w:rsidRPr="00B6369F" w:rsidTr="001C273B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16A07" w:rsidRPr="00B6369F" w:rsidTr="001C273B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ИСПОЛЬЗОВАНИЯ ИМУЩЕСТВА, НАХОДЯЩЕГОСЯ В ГОСУДАРСТВЕННОЙ И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F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F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F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</w:t>
            </w:r>
            <w:r w:rsidR="00C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016A07" w:rsidRDefault="00016A07" w:rsidP="00016A07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F22647" w:rsidRDefault="00F22647" w:rsidP="00016A07">
      <w:pPr>
        <w:rPr>
          <w:rFonts w:ascii="Times New Roman" w:hAnsi="Times New Roman" w:cs="Times New Roman"/>
          <w:sz w:val="24"/>
          <w:szCs w:val="24"/>
        </w:rPr>
      </w:pPr>
    </w:p>
    <w:p w:rsidR="00F22647" w:rsidRDefault="00F2264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Pr="00B4406F" w:rsidRDefault="00016A07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16A07" w:rsidRPr="0084658E" w:rsidRDefault="00016A07" w:rsidP="00016A07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016A07" w:rsidRPr="00D7303C" w:rsidTr="00911107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A07" w:rsidRPr="00D7303C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A07" w:rsidRPr="00D7303C" w:rsidRDefault="00756556" w:rsidP="00911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01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016A07" w:rsidRPr="00DF22FF" w:rsidTr="001C273B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016A07" w:rsidRPr="00DF22F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FE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911107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756556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11107">
        <w:rPr>
          <w:rFonts w:ascii="Times New Roman" w:hAnsi="Times New Roman" w:cs="Times New Roman"/>
          <w:sz w:val="28"/>
          <w:szCs w:val="28"/>
        </w:rPr>
        <w:t>3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C46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07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172,2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281,0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145,2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C0F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093,0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07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073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897,0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</w:t>
                  </w: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8D2A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996,4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8D2AD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996,4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756556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051F0A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996,4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756556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lastRenderedPageBreak/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172,3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0020E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2 893,4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020E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2 893,4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3FF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897,0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0020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093,0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7A3349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1A1D60">
        <w:rPr>
          <w:rFonts w:ascii="Times New Roman" w:hAnsi="Times New Roman" w:cs="Times New Roman"/>
          <w:sz w:val="28"/>
          <w:szCs w:val="28"/>
        </w:rPr>
        <w:t xml:space="preserve"> июля</w:t>
      </w:r>
      <w:r w:rsidR="00275237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7A3349">
        <w:rPr>
          <w:rFonts w:ascii="Times New Roman" w:hAnsi="Times New Roman" w:cs="Times New Roman"/>
          <w:sz w:val="28"/>
          <w:szCs w:val="28"/>
        </w:rPr>
        <w:t>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47" w:rsidRDefault="00E87F47" w:rsidP="00F74958">
      <w:pPr>
        <w:spacing w:after="0" w:line="240" w:lineRule="auto"/>
      </w:pPr>
      <w:r>
        <w:separator/>
      </w:r>
    </w:p>
  </w:endnote>
  <w:endnote w:type="continuationSeparator" w:id="0">
    <w:p w:rsidR="00E87F47" w:rsidRDefault="00E87F47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4219">
      <w:rPr>
        <w:rStyle w:val="af0"/>
        <w:noProof/>
      </w:rPr>
      <w:t>1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4219">
      <w:rPr>
        <w:rStyle w:val="af0"/>
        <w:noProof/>
      </w:rPr>
      <w:t>37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47" w:rsidRDefault="00E87F47" w:rsidP="00F74958">
      <w:pPr>
        <w:spacing w:after="0" w:line="240" w:lineRule="auto"/>
      </w:pPr>
      <w:r>
        <w:separator/>
      </w:r>
    </w:p>
  </w:footnote>
  <w:footnote w:type="continuationSeparator" w:id="0">
    <w:p w:rsidR="00E87F47" w:rsidRDefault="00E87F47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4219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36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87F47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18EF-7698-43CB-93AB-73F8F34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4820</TotalTime>
  <Pages>37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953</cp:revision>
  <cp:lastPrinted>2023-02-10T10:33:00Z</cp:lastPrinted>
  <dcterms:created xsi:type="dcterms:W3CDTF">2016-12-05T10:24:00Z</dcterms:created>
  <dcterms:modified xsi:type="dcterms:W3CDTF">2023-08-07T12:51:00Z</dcterms:modified>
</cp:coreProperties>
</file>