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495879">
        <w:rPr>
          <w:sz w:val="28"/>
          <w:szCs w:val="28"/>
        </w:rPr>
        <w:t>ноябре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C55BC2">
        <w:rPr>
          <w:sz w:val="28"/>
          <w:szCs w:val="28"/>
        </w:rPr>
        <w:t>поступило 1 обращение граждан</w:t>
      </w:r>
      <w:r w:rsidR="00175D37">
        <w:rPr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495879">
        <w:rPr>
          <w:sz w:val="28"/>
          <w:szCs w:val="28"/>
        </w:rPr>
        <w:t>ноябре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AA3B49">
        <w:rPr>
          <w:sz w:val="28"/>
          <w:szCs w:val="28"/>
        </w:rPr>
        <w:t xml:space="preserve"> обращений  (</w:t>
      </w:r>
      <w:r w:rsidR="00C55BC2">
        <w:rPr>
          <w:sz w:val="28"/>
          <w:szCs w:val="28"/>
        </w:rPr>
        <w:t>1</w:t>
      </w:r>
      <w:r w:rsidR="00914CE3">
        <w:rPr>
          <w:sz w:val="28"/>
          <w:szCs w:val="28"/>
        </w:rPr>
        <w:t>)</w:t>
      </w:r>
      <w:r w:rsidR="00C55BC2">
        <w:rPr>
          <w:sz w:val="28"/>
          <w:szCs w:val="28"/>
        </w:rPr>
        <w:t xml:space="preserve">, </w:t>
      </w:r>
      <w:r w:rsidR="00CD4710" w:rsidRPr="00CD4710">
        <w:rPr>
          <w:sz w:val="28"/>
          <w:szCs w:val="28"/>
        </w:rPr>
        <w:t>в</w:t>
      </w:r>
      <w:r w:rsidR="00600B33" w:rsidRPr="00600B33">
        <w:rPr>
          <w:sz w:val="28"/>
          <w:szCs w:val="28"/>
        </w:rPr>
        <w:t xml:space="preserve"> </w:t>
      </w:r>
      <w:r w:rsidR="00B13D1D">
        <w:rPr>
          <w:sz w:val="28"/>
          <w:szCs w:val="28"/>
        </w:rPr>
        <w:t>ноябре</w:t>
      </w:r>
      <w:r w:rsidR="005433A5">
        <w:rPr>
          <w:sz w:val="28"/>
          <w:szCs w:val="28"/>
        </w:rPr>
        <w:t xml:space="preserve">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</w:t>
      </w:r>
      <w:r w:rsidR="00B13D1D">
        <w:rPr>
          <w:sz w:val="28"/>
          <w:szCs w:val="28"/>
        </w:rPr>
        <w:t>(1</w:t>
      </w:r>
      <w:r w:rsidR="00880D2B" w:rsidRPr="00BB111B">
        <w:rPr>
          <w:sz w:val="28"/>
          <w:szCs w:val="28"/>
        </w:rPr>
        <w:t>)</w:t>
      </w:r>
      <w:r w:rsidR="00B13D1D">
        <w:rPr>
          <w:sz w:val="28"/>
          <w:szCs w:val="28"/>
        </w:rPr>
        <w:t xml:space="preserve"> не изменилось.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B13D1D">
        <w:rPr>
          <w:sz w:val="28"/>
          <w:szCs w:val="28"/>
        </w:rPr>
        <w:t>ноябре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AA3B49">
        <w:rPr>
          <w:sz w:val="28"/>
          <w:szCs w:val="28"/>
        </w:rPr>
        <w:t xml:space="preserve"> (</w:t>
      </w:r>
      <w:r w:rsidR="00B13D1D">
        <w:rPr>
          <w:sz w:val="28"/>
          <w:szCs w:val="28"/>
        </w:rPr>
        <w:t>1</w:t>
      </w:r>
      <w:r w:rsidR="000E0BDD">
        <w:rPr>
          <w:sz w:val="28"/>
          <w:szCs w:val="28"/>
        </w:rPr>
        <w:t>)</w:t>
      </w:r>
      <w:r w:rsidR="0077163B">
        <w:rPr>
          <w:sz w:val="28"/>
          <w:szCs w:val="28"/>
        </w:rPr>
        <w:t xml:space="preserve">, </w:t>
      </w:r>
      <w:r w:rsidRPr="004F6CFC">
        <w:rPr>
          <w:sz w:val="28"/>
          <w:szCs w:val="28"/>
        </w:rPr>
        <w:t xml:space="preserve">в </w:t>
      </w:r>
      <w:r w:rsidR="00B13D1D">
        <w:rPr>
          <w:sz w:val="28"/>
          <w:szCs w:val="28"/>
        </w:rPr>
        <w:t>октябре</w:t>
      </w:r>
      <w:r w:rsidR="004433FC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B13D1D">
        <w:rPr>
          <w:sz w:val="28"/>
          <w:szCs w:val="28"/>
        </w:rPr>
        <w:t>1</w:t>
      </w:r>
      <w:r w:rsidR="000E0BDD">
        <w:rPr>
          <w:sz w:val="28"/>
          <w:szCs w:val="28"/>
        </w:rPr>
        <w:t>)</w:t>
      </w:r>
      <w:r w:rsidR="00B13D1D">
        <w:rPr>
          <w:sz w:val="28"/>
          <w:szCs w:val="28"/>
        </w:rPr>
        <w:t xml:space="preserve"> не изменилось.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B13D1D" w:rsidRPr="00B13D1D">
        <w:rPr>
          <w:sz w:val="28"/>
          <w:szCs w:val="28"/>
        </w:rPr>
        <w:t xml:space="preserve">ноябрь 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B13D1D">
        <w:rPr>
          <w:sz w:val="28"/>
          <w:szCs w:val="28"/>
        </w:rPr>
        <w:t>октябре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B13D1D" w:rsidRPr="00B13D1D">
        <w:rPr>
          <w:sz w:val="28"/>
          <w:szCs w:val="28"/>
        </w:rPr>
        <w:t xml:space="preserve">ноябрь 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B13D1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13D1D">
              <w:rPr>
                <w:sz w:val="24"/>
                <w:szCs w:val="24"/>
              </w:rPr>
              <w:t xml:space="preserve">ноябрь </w:t>
            </w:r>
            <w:r w:rsidR="004433FC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B13D1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B13D1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13D1D">
              <w:rPr>
                <w:sz w:val="24"/>
                <w:szCs w:val="24"/>
              </w:rPr>
              <w:t xml:space="preserve">ноябрь </w:t>
            </w:r>
            <w:r w:rsidR="0077163B">
              <w:rPr>
                <w:sz w:val="24"/>
                <w:szCs w:val="24"/>
              </w:rPr>
              <w:t xml:space="preserve"> </w:t>
            </w:r>
            <w:r w:rsidR="004433FC">
              <w:rPr>
                <w:sz w:val="24"/>
                <w:szCs w:val="24"/>
              </w:rPr>
              <w:t>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B13D1D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55BC2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55BC2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B13D1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55BC2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55BC2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B13D1D">
        <w:rPr>
          <w:sz w:val="28"/>
          <w:szCs w:val="28"/>
        </w:rPr>
        <w:t>ноябрь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B13D1D">
        <w:rPr>
          <w:sz w:val="28"/>
          <w:szCs w:val="28"/>
        </w:rPr>
        <w:t>октябрь</w:t>
      </w:r>
      <w:r w:rsidR="004433FC">
        <w:rPr>
          <w:sz w:val="28"/>
          <w:szCs w:val="28"/>
        </w:rPr>
        <w:t xml:space="preserve"> 2022</w:t>
      </w:r>
      <w:r w:rsidR="00161371">
        <w:rPr>
          <w:sz w:val="28"/>
          <w:szCs w:val="28"/>
        </w:rPr>
        <w:t xml:space="preserve"> года, за </w:t>
      </w:r>
      <w:r w:rsidR="00B13D1D">
        <w:rPr>
          <w:sz w:val="28"/>
          <w:szCs w:val="28"/>
        </w:rPr>
        <w:t>ноябрь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B13D1D" w:rsidP="00D7276F">
            <w:pPr>
              <w:jc w:val="center"/>
            </w:pPr>
            <w:r>
              <w:rPr>
                <w:sz w:val="28"/>
                <w:szCs w:val="28"/>
              </w:rPr>
              <w:t>ноябрь</w:t>
            </w:r>
            <w:r w:rsidR="002A293F">
              <w:t xml:space="preserve"> </w:t>
            </w:r>
            <w:r w:rsidR="004433FC">
              <w:t>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B13D1D" w:rsidP="00D7276F">
            <w:pPr>
              <w:jc w:val="center"/>
            </w:pPr>
            <w:r>
              <w:t>октябрь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B13D1D" w:rsidP="00C55BC2">
            <w:pPr>
              <w:jc w:val="center"/>
            </w:pPr>
            <w:r>
              <w:t>ноябрь</w:t>
            </w:r>
            <w:r w:rsidR="004433FC">
              <w:t>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AF4053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AF4053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B13D1D" w:rsidP="00D7276F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814DB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AF4053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AF4053" w:rsidP="00D7276F">
            <w:pPr>
              <w:jc w:val="center"/>
              <w:rPr>
                <w:szCs w:val="20"/>
              </w:rPr>
            </w:pPr>
            <w:r w:rsidRPr="00B56D70">
              <w:rPr>
                <w:sz w:val="23"/>
                <w:szCs w:val="23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D61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AF4053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814DB2" w:rsidP="00D7276F">
            <w:pPr>
              <w:jc w:val="center"/>
              <w:rPr>
                <w:szCs w:val="20"/>
              </w:rPr>
            </w:pPr>
            <w:r w:rsidRPr="00062C52">
              <w:t>Земля, земельные споры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175D37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AF4053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Pr="00B7069D" w:rsidRDefault="001B1748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B13D1D" w:rsidP="00D7276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</w:pPr>
            <w: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14DB2" w:rsidRDefault="00B13D1D" w:rsidP="005C714D">
            <w:pPr>
              <w:jc w:val="center"/>
            </w:pPr>
            <w:r>
              <w:t>ноябрь</w:t>
            </w:r>
            <w:r w:rsidR="002A293F">
              <w:t xml:space="preserve"> </w:t>
            </w:r>
            <w:r w:rsidR="004433FC">
              <w:t xml:space="preserve"> </w:t>
            </w:r>
          </w:p>
          <w:p w:rsidR="00D105DC" w:rsidRPr="0062770C" w:rsidRDefault="004433FC" w:rsidP="005C714D">
            <w:pPr>
              <w:jc w:val="center"/>
              <w:rPr>
                <w:vertAlign w:val="superscript"/>
              </w:rPr>
            </w:pPr>
            <w:r>
              <w:t>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B13D1D" w:rsidP="00D7276F">
            <w:pPr>
              <w:jc w:val="center"/>
            </w:pPr>
            <w:r>
              <w:t>октябрь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B13D1D" w:rsidP="00D7276F">
            <w:pPr>
              <w:jc w:val="center"/>
            </w:pPr>
            <w:r>
              <w:rPr>
                <w:sz w:val="28"/>
                <w:szCs w:val="28"/>
              </w:rPr>
              <w:t>ноябрь</w:t>
            </w:r>
            <w:r w:rsidR="002A293F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B13D1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B13D1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631DB2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B13D1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B13D1D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B174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631DB2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23B87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B13D1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B13D1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376241" w:rsidRPr="00BD0874" w:rsidRDefault="00631DB2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Default="00DB7E26" w:rsidP="00DB7E26">
      <w:pPr>
        <w:rPr>
          <w:color w:val="FF0000"/>
        </w:rPr>
      </w:pPr>
    </w:p>
    <w:p w:rsidR="005A6980" w:rsidRPr="00956CFE" w:rsidRDefault="005A6980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A1" w:rsidRDefault="00EF23A1">
      <w:r>
        <w:separator/>
      </w:r>
    </w:p>
  </w:endnote>
  <w:endnote w:type="continuationSeparator" w:id="0">
    <w:p w:rsidR="00EF23A1" w:rsidRDefault="00EF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3D1D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A1" w:rsidRDefault="00EF23A1">
      <w:r>
        <w:separator/>
      </w:r>
    </w:p>
  </w:footnote>
  <w:footnote w:type="continuationSeparator" w:id="0">
    <w:p w:rsidR="00EF23A1" w:rsidRDefault="00EF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75D37"/>
    <w:rsid w:val="001775B1"/>
    <w:rsid w:val="00180688"/>
    <w:rsid w:val="00183E38"/>
    <w:rsid w:val="00191568"/>
    <w:rsid w:val="00195DF2"/>
    <w:rsid w:val="001A09BE"/>
    <w:rsid w:val="001A6F92"/>
    <w:rsid w:val="001B1748"/>
    <w:rsid w:val="001C3D6E"/>
    <w:rsid w:val="001D2327"/>
    <w:rsid w:val="001D4F32"/>
    <w:rsid w:val="001D78CA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1BBB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2E69D5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156E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0681"/>
    <w:rsid w:val="00411453"/>
    <w:rsid w:val="004119DD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95879"/>
    <w:rsid w:val="004A4202"/>
    <w:rsid w:val="004A6C46"/>
    <w:rsid w:val="004B1F04"/>
    <w:rsid w:val="004B27EE"/>
    <w:rsid w:val="004B4A74"/>
    <w:rsid w:val="004B714F"/>
    <w:rsid w:val="004C3997"/>
    <w:rsid w:val="004C5BC6"/>
    <w:rsid w:val="004C74E7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A6980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10094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1DB2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3B87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163B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4DB2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0A98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153"/>
    <w:rsid w:val="009D6CA0"/>
    <w:rsid w:val="009F1DCB"/>
    <w:rsid w:val="00A03371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3B49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4053"/>
    <w:rsid w:val="00AF5DB3"/>
    <w:rsid w:val="00B008DE"/>
    <w:rsid w:val="00B10C9E"/>
    <w:rsid w:val="00B117C3"/>
    <w:rsid w:val="00B12BA2"/>
    <w:rsid w:val="00B12E54"/>
    <w:rsid w:val="00B13D1D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55BC2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190E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53E6E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3A1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ноябрь  2021 года</c:v>
                </c:pt>
                <c:pt idx="1">
                  <c:v>октябрь 2022 года</c:v>
                </c:pt>
                <c:pt idx="2">
                  <c:v>ноябрь 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ноябрь  2021 года</c:v>
                </c:pt>
                <c:pt idx="1">
                  <c:v>октябрь 2022 года</c:v>
                </c:pt>
                <c:pt idx="2">
                  <c:v>ноябрь 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ноябрь  2021 года</c:v>
                </c:pt>
                <c:pt idx="1">
                  <c:v>октябрь 2022 года</c:v>
                </c:pt>
                <c:pt idx="2">
                  <c:v>ноябрь 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9057152"/>
        <c:axId val="239068672"/>
      </c:barChart>
      <c:catAx>
        <c:axId val="23905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239068672"/>
        <c:crosses val="autoZero"/>
        <c:auto val="1"/>
        <c:lblAlgn val="ctr"/>
        <c:lblOffset val="100"/>
        <c:noMultiLvlLbl val="0"/>
      </c:catAx>
      <c:valAx>
        <c:axId val="23906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057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ноябрь  2021 года</c:v>
                </c:pt>
                <c:pt idx="1">
                  <c:v>октябрь  2022 года</c:v>
                </c:pt>
                <c:pt idx="2">
                  <c:v>ноябрь 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ноябрь  2021 года</c:v>
                </c:pt>
                <c:pt idx="1">
                  <c:v>октябрь  2022 года</c:v>
                </c:pt>
                <c:pt idx="2">
                  <c:v>ноябрь 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ноябрь  2021 года</c:v>
                </c:pt>
                <c:pt idx="1">
                  <c:v>октябрь  2022 года</c:v>
                </c:pt>
                <c:pt idx="2">
                  <c:v>ноябрь 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1026304"/>
        <c:axId val="301150976"/>
      </c:barChart>
      <c:catAx>
        <c:axId val="30102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301150976"/>
        <c:crosses val="autoZero"/>
        <c:auto val="1"/>
        <c:lblAlgn val="ctr"/>
        <c:lblOffset val="100"/>
        <c:noMultiLvlLbl val="0"/>
      </c:catAx>
      <c:valAx>
        <c:axId val="30115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026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014720"/>
        <c:axId val="151875584"/>
      </c:barChart>
      <c:catAx>
        <c:axId val="312014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1875584"/>
        <c:crosses val="autoZero"/>
        <c:auto val="1"/>
        <c:lblAlgn val="ctr"/>
        <c:lblOffset val="100"/>
        <c:noMultiLvlLbl val="0"/>
      </c:catAx>
      <c:valAx>
        <c:axId val="15187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2014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2021 г.</c:v>
                </c:pt>
                <c:pt idx="1">
                  <c:v>октябрь 2022г.</c:v>
                </c:pt>
                <c:pt idx="2">
                  <c:v>ноябрь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2021 г.</c:v>
                </c:pt>
                <c:pt idx="1">
                  <c:v>октябрь 2022г.</c:v>
                </c:pt>
                <c:pt idx="2">
                  <c:v>ноябрь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ноябрь 2021 г.</c:v>
                </c:pt>
                <c:pt idx="1">
                  <c:v>октябрь 2022г.</c:v>
                </c:pt>
                <c:pt idx="2">
                  <c:v>ноябрь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0137216"/>
        <c:axId val="230139008"/>
        <c:axId val="0"/>
      </c:bar3DChart>
      <c:catAx>
        <c:axId val="23013721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0139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0139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01372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E5A6-48E4-4C9C-BC12-25C96080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35</cp:revision>
  <cp:lastPrinted>2022-11-27T10:22:00Z</cp:lastPrinted>
  <dcterms:created xsi:type="dcterms:W3CDTF">2019-01-29T08:03:00Z</dcterms:created>
  <dcterms:modified xsi:type="dcterms:W3CDTF">2022-11-27T10:23:00Z</dcterms:modified>
</cp:coreProperties>
</file>