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95833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1D261C" w:rsidRDefault="001D2BCF" w:rsidP="00D64B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304DBE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района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на  202</w:t>
      </w:r>
      <w:r w:rsidR="008C2E41">
        <w:rPr>
          <w:rFonts w:ascii="Times New Roman" w:hAnsi="Times New Roman" w:cs="Times New Roman"/>
          <w:b/>
          <w:sz w:val="28"/>
          <w:szCs w:val="28"/>
        </w:rPr>
        <w:t>3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 год и на плановый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8C2E41">
        <w:rPr>
          <w:rFonts w:ascii="Times New Roman" w:hAnsi="Times New Roman" w:cs="Times New Roman"/>
          <w:b/>
          <w:sz w:val="28"/>
          <w:szCs w:val="28"/>
        </w:rPr>
        <w:t>4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C2E41">
        <w:rPr>
          <w:rFonts w:ascii="Times New Roman" w:hAnsi="Times New Roman" w:cs="Times New Roman"/>
          <w:b/>
          <w:sz w:val="28"/>
          <w:szCs w:val="28"/>
        </w:rPr>
        <w:t>5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64BDE" w:rsidRPr="00D64BDE" w:rsidRDefault="00D64BDE" w:rsidP="00456A9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D64BDE" w:rsidRPr="00456A91" w:rsidRDefault="00D64BDE" w:rsidP="0045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на 202</w:t>
      </w:r>
      <w:r w:rsidR="00E90AD5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EF0B6E" w:rsidRPr="00EF0B6E">
        <w:rPr>
          <w:rFonts w:ascii="Times New Roman" w:hAnsi="Times New Roman" w:cs="Times New Roman"/>
          <w:sz w:val="28"/>
          <w:szCs w:val="28"/>
        </w:rPr>
        <w:t>6,1</w:t>
      </w:r>
      <w:r w:rsidRPr="00EF0B6E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EF0B6E" w:rsidRPr="00EF0B6E">
        <w:rPr>
          <w:rFonts w:ascii="Times New Roman" w:hAnsi="Times New Roman" w:cs="Times New Roman"/>
          <w:sz w:val="28"/>
          <w:szCs w:val="28"/>
        </w:rPr>
        <w:t>3</w:t>
      </w:r>
      <w:r w:rsidRPr="00EF0B6E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F0B6E" w:rsidRPr="00EF0B6E">
        <w:rPr>
          <w:rFonts w:ascii="Times New Roman" w:hAnsi="Times New Roman" w:cs="Times New Roman"/>
          <w:sz w:val="28"/>
          <w:szCs w:val="28"/>
        </w:rPr>
        <w:t>2</w:t>
      </w:r>
      <w:r w:rsidRPr="00EF0B6E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E90AD5">
        <w:rPr>
          <w:rFonts w:ascii="Times New Roman" w:hAnsi="Times New Roman" w:cs="Times New Roman"/>
          <w:sz w:val="28"/>
          <w:szCs w:val="28"/>
        </w:rPr>
        <w:t>7440,3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E90AD5">
        <w:rPr>
          <w:rFonts w:ascii="Times New Roman" w:hAnsi="Times New Roman" w:cs="Times New Roman"/>
          <w:sz w:val="28"/>
          <w:szCs w:val="28"/>
        </w:rPr>
        <w:t>7440,3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="00E90AD5" w:rsidRPr="00E47469">
        <w:rPr>
          <w:rFonts w:ascii="Times New Roman" w:hAnsi="Times New Roman" w:cs="Times New Roman"/>
          <w:sz w:val="28"/>
          <w:szCs w:val="28"/>
        </w:rPr>
        <w:t>4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664D2B" w:rsidRPr="00664D2B">
        <w:rPr>
          <w:rFonts w:ascii="Times New Roman" w:hAnsi="Times New Roman" w:cs="Times New Roman"/>
          <w:sz w:val="28"/>
          <w:szCs w:val="28"/>
        </w:rPr>
        <w:t>0,0</w:t>
      </w:r>
      <w:r w:rsidRPr="00664D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="00E90AD5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90AD5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 w:cs="Times New Roman"/>
          <w:sz w:val="28"/>
          <w:szCs w:val="28"/>
        </w:rPr>
        <w:t>превышающего 4,0 процента (декабрь 202</w:t>
      </w:r>
      <w:r w:rsidR="00E90AD5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90AD5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E90AD5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90AD5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7568,2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 и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6832,0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7568,2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E47469">
        <w:rPr>
          <w:rFonts w:ascii="Times New Roman" w:hAnsi="Times New Roman" w:cs="Times New Roman"/>
          <w:iCs/>
          <w:color w:val="000000"/>
          <w:sz w:val="28"/>
          <w:szCs w:val="28"/>
        </w:rPr>
        <w:t>140,3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6832,0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E47469">
        <w:rPr>
          <w:rFonts w:ascii="Times New Roman" w:hAnsi="Times New Roman" w:cs="Times New Roman"/>
          <w:iCs/>
          <w:color w:val="000000"/>
          <w:sz w:val="28"/>
          <w:szCs w:val="28"/>
        </w:rPr>
        <w:t>287,1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 w:rsidR="00F72F01"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202</w:t>
      </w:r>
      <w:r w:rsidR="00DC63C0">
        <w:rPr>
          <w:rFonts w:ascii="Times New Roman" w:hAnsi="Times New Roman" w:cs="Times New Roman"/>
          <w:iCs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DC63C0">
        <w:rPr>
          <w:rFonts w:ascii="Times New Roman" w:hAnsi="Times New Roman" w:cs="Times New Roman"/>
          <w:iCs/>
          <w:spacing w:val="-4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AD131B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 на 202</w:t>
      </w:r>
      <w:r w:rsidR="00DC63C0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BA0A89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   год и на плановый период 202</w:t>
      </w:r>
      <w:r w:rsidR="00BA0A89">
        <w:rPr>
          <w:rFonts w:ascii="Times New Roman" w:hAnsi="Times New Roman" w:cs="Times New Roman"/>
          <w:b/>
          <w:iCs/>
          <w:sz w:val="28"/>
          <w:szCs w:val="28"/>
        </w:rPr>
        <w:t>4 и 2025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1D261C" w:rsidRPr="00456A91" w:rsidRDefault="001D261C" w:rsidP="00456A91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A0A89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E47469">
        <w:rPr>
          <w:rFonts w:ascii="Times New Roman" w:hAnsi="Times New Roman" w:cs="Times New Roman"/>
          <w:sz w:val="28"/>
          <w:szCs w:val="28"/>
        </w:rPr>
        <w:t>272,3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0A89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3264">
        <w:rPr>
          <w:rFonts w:ascii="Times New Roman" w:hAnsi="Times New Roman" w:cs="Times New Roman"/>
          <w:sz w:val="28"/>
          <w:szCs w:val="28"/>
        </w:rPr>
        <w:t>283,4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A0A8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3264">
        <w:rPr>
          <w:rFonts w:ascii="Times New Roman" w:hAnsi="Times New Roman" w:cs="Times New Roman"/>
          <w:sz w:val="28"/>
          <w:szCs w:val="28"/>
        </w:rPr>
        <w:t>294,7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сельского  поселения на 202</w:t>
      </w:r>
      <w:r w:rsidR="00BA0A89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 сумме   </w:t>
      </w:r>
      <w:r w:rsidR="00E47469">
        <w:rPr>
          <w:rFonts w:ascii="Times New Roman" w:hAnsi="Times New Roman" w:cs="Times New Roman"/>
          <w:sz w:val="28"/>
          <w:szCs w:val="28"/>
        </w:rPr>
        <w:t>1649,6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0A89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7469">
        <w:rPr>
          <w:rFonts w:ascii="Times New Roman" w:hAnsi="Times New Roman" w:cs="Times New Roman"/>
          <w:sz w:val="28"/>
          <w:szCs w:val="28"/>
        </w:rPr>
        <w:t>1851,7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A0A8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7469">
        <w:rPr>
          <w:rFonts w:ascii="Times New Roman" w:hAnsi="Times New Roman" w:cs="Times New Roman"/>
          <w:sz w:val="28"/>
          <w:szCs w:val="28"/>
        </w:rPr>
        <w:t>1091,6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>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577FF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4C4B3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="00A577FF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4B3B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4B3B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</w:t>
      </w:r>
    </w:p>
    <w:p w:rsidR="001D261C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>органов местного  самоуправ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ления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D64BDE" w:rsidRPr="00456A91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304DBE"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F4F99" w:rsidRPr="001F4F99">
        <w:rPr>
          <w:rFonts w:ascii="Times New Roman" w:hAnsi="Times New Roman" w:cs="Times New Roman"/>
          <w:sz w:val="28"/>
          <w:szCs w:val="28"/>
        </w:rPr>
        <w:t>6,1</w:t>
      </w:r>
      <w:r w:rsidRPr="001F4F99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51334" w:rsidRPr="00456A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</w:t>
      </w:r>
      <w:r w:rsidR="00456A91">
        <w:rPr>
          <w:rFonts w:ascii="Times New Roman" w:hAnsi="Times New Roman" w:cs="Times New Roman"/>
          <w:b/>
          <w:sz w:val="28"/>
          <w:szCs w:val="28"/>
        </w:rPr>
        <w:t xml:space="preserve">вания бюджетных ассигнований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C51334" w:rsidRPr="00456A91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</w:t>
      </w:r>
      <w:r w:rsidRPr="001F4F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F4F99" w:rsidRPr="001F4F99">
        <w:rPr>
          <w:rFonts w:ascii="Times New Roman" w:hAnsi="Times New Roman" w:cs="Times New Roman"/>
          <w:sz w:val="28"/>
          <w:szCs w:val="28"/>
        </w:rPr>
        <w:t>6,1</w:t>
      </w:r>
      <w:r w:rsidRPr="001F4F99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5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Межбюджетные трансферты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предоставляемые согласно статьи 7 Областного закона «Об областном бюджете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» бюджету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 w:cs="Times New Roman"/>
          <w:sz w:val="28"/>
          <w:szCs w:val="28"/>
        </w:rPr>
        <w:t>;</w:t>
      </w:r>
    </w:p>
    <w:p w:rsidR="00C51334" w:rsidRPr="00456A91" w:rsidRDefault="00C51334" w:rsidP="00C55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             2. 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 и 2025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770F7">
        <w:rPr>
          <w:rFonts w:ascii="Times New Roman" w:hAnsi="Times New Roman" w:cs="Times New Roman"/>
          <w:sz w:val="28"/>
          <w:szCs w:val="28"/>
        </w:rPr>
        <w:t>годов:</w:t>
      </w:r>
      <w:r w:rsidR="00035F3D" w:rsidRPr="001770F7">
        <w:rPr>
          <w:rFonts w:ascii="Times New Roman" w:hAnsi="Times New Roman" w:cs="Times New Roman"/>
          <w:sz w:val="28"/>
          <w:szCs w:val="28"/>
        </w:rPr>
        <w:t xml:space="preserve"> н</w:t>
      </w:r>
      <w:r w:rsidRPr="001770F7">
        <w:rPr>
          <w:rFonts w:ascii="Times New Roman" w:hAnsi="Times New Roman" w:cs="Times New Roman"/>
          <w:sz w:val="28"/>
          <w:szCs w:val="28"/>
        </w:rPr>
        <w:t>а осуществление части полномочий по решению вопросов местного значения в соответствии с заключенными соглашениями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1770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</w:t>
      </w:r>
      <w:r w:rsidRPr="001770F7">
        <w:rPr>
          <w:rFonts w:ascii="Times New Roman" w:hAnsi="Times New Roman" w:cs="Times New Roman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sz w:val="28"/>
          <w:szCs w:val="28"/>
        </w:rPr>
        <w:t>5</w:t>
      </w:r>
      <w:r w:rsidRPr="001770F7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230D3B">
        <w:rPr>
          <w:sz w:val="28"/>
          <w:szCs w:val="28"/>
        </w:rPr>
        <w:t>3</w:t>
      </w:r>
      <w:r w:rsidRPr="00456A91">
        <w:rPr>
          <w:sz w:val="28"/>
          <w:szCs w:val="28"/>
        </w:rPr>
        <w:t xml:space="preserve"> год и на плановый период 202</w:t>
      </w:r>
      <w:r w:rsidR="00230D3B">
        <w:rPr>
          <w:sz w:val="28"/>
          <w:szCs w:val="28"/>
        </w:rPr>
        <w:t>4</w:t>
      </w:r>
      <w:r w:rsidRPr="00456A91">
        <w:rPr>
          <w:sz w:val="28"/>
          <w:szCs w:val="28"/>
        </w:rPr>
        <w:t xml:space="preserve"> и 202</w:t>
      </w:r>
      <w:r w:rsidR="00230D3B">
        <w:rPr>
          <w:sz w:val="28"/>
          <w:szCs w:val="28"/>
        </w:rPr>
        <w:t>5</w:t>
      </w:r>
      <w:r w:rsidRPr="00456A91">
        <w:rPr>
          <w:sz w:val="28"/>
          <w:szCs w:val="28"/>
        </w:rPr>
        <w:t xml:space="preserve"> годов согласно приложению 8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lastRenderedPageBreak/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A577FF" w:rsidRPr="00456A91" w:rsidRDefault="00A577FF" w:rsidP="0045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EFD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6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 w:rsidR="005B2EFD"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D64BDE" w:rsidRDefault="00304DBE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B2EFD" w:rsidRPr="00456A91" w:rsidRDefault="005B2EFD" w:rsidP="00456A91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34300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>на 202</w:t>
      </w:r>
      <w:r w:rsidR="00230D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230D3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230D3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приложению </w:t>
      </w:r>
      <w:r w:rsidR="00C51334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5B2EFD" w:rsidRPr="00456A91" w:rsidRDefault="005B2EFD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  7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230D3B">
        <w:rPr>
          <w:rFonts w:ascii="Times New Roman" w:hAnsi="Times New Roman" w:cs="Times New Roman"/>
          <w:b/>
          <w:sz w:val="28"/>
          <w:szCs w:val="28"/>
        </w:rPr>
        <w:t>3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6" w:history="1">
        <w:r w:rsidR="00D64BDE" w:rsidRPr="00456A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 w:rsidR="00E31D2C" w:rsidRPr="00456A91">
        <w:rPr>
          <w:rFonts w:ascii="Times New Roman" w:hAnsi="Times New Roman" w:cs="Times New Roman"/>
          <w:sz w:val="28"/>
          <w:szCs w:val="28"/>
        </w:rPr>
        <w:t xml:space="preserve"> 40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595F4E" w:rsidRPr="00456A91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="00D64BDE" w:rsidRPr="00456A91">
        <w:rPr>
          <w:rFonts w:ascii="Times New Roman" w:hAnsi="Times New Roman" w:cs="Times New Roman"/>
          <w:sz w:val="28"/>
          <w:szCs w:val="28"/>
        </w:rPr>
        <w:t>, чт</w:t>
      </w:r>
      <w:r w:rsidR="00EE2785">
        <w:rPr>
          <w:rFonts w:ascii="Times New Roman" w:hAnsi="Times New Roman" w:cs="Times New Roman"/>
          <w:sz w:val="28"/>
          <w:szCs w:val="28"/>
        </w:rPr>
        <w:t>о основанием для внесения в 2023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D64BDE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DF5F8E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2F01" w:rsidRPr="00456A91" w:rsidRDefault="00F72F01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5921" w:rsidRPr="008C4658" w:rsidRDefault="005E3405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CA5921" w:rsidRPr="008C4658">
        <w:rPr>
          <w:rFonts w:ascii="Times New Roman" w:hAnsi="Times New Roman" w:cs="Times New Roman"/>
          <w:sz w:val="28"/>
        </w:rPr>
        <w:t>.  Установить, что в 202</w:t>
      </w:r>
      <w:r w:rsidR="003D7C56" w:rsidRPr="008C4658"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Ивановского сельского поселения </w:t>
      </w:r>
      <w:proofErr w:type="spellStart"/>
      <w:r w:rsidR="00CA5921" w:rsidRPr="008C4658">
        <w:rPr>
          <w:rFonts w:ascii="Times New Roman" w:hAnsi="Times New Roman" w:cs="Times New Roman"/>
          <w:sz w:val="28"/>
        </w:rPr>
        <w:t>Сальского</w:t>
      </w:r>
      <w:proofErr w:type="spellEnd"/>
      <w:r w:rsidR="00CA5921" w:rsidRPr="008C4658">
        <w:rPr>
          <w:rFonts w:ascii="Times New Roman" w:hAnsi="Times New Roman" w:cs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Ивановского сельского поселения </w:t>
      </w:r>
      <w:proofErr w:type="spellStart"/>
      <w:r w:rsidR="00CA5921" w:rsidRPr="008C4658">
        <w:rPr>
          <w:rFonts w:ascii="Times New Roman" w:hAnsi="Times New Roman" w:cs="Times New Roman"/>
          <w:sz w:val="28"/>
        </w:rPr>
        <w:t>Сальского</w:t>
      </w:r>
      <w:proofErr w:type="spellEnd"/>
      <w:r w:rsidR="00CA5921" w:rsidRPr="008C4658">
        <w:rPr>
          <w:rFonts w:ascii="Times New Roman" w:hAnsi="Times New Roman" w:cs="Times New Roman"/>
          <w:sz w:val="28"/>
        </w:rPr>
        <w:t xml:space="preserve"> района.</w:t>
      </w:r>
    </w:p>
    <w:p w:rsidR="00CA5921" w:rsidRPr="008C4658" w:rsidRDefault="005E3405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>.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="003D7C56" w:rsidRPr="008C4658"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 xml:space="preserve"> года: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CA5921" w:rsidRDefault="005E3405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CA5921" w:rsidRPr="008C4658">
        <w:rPr>
          <w:rFonts w:ascii="Times New Roman" w:hAnsi="Times New Roman" w:cs="Times New Roman"/>
          <w:sz w:val="28"/>
        </w:rPr>
        <w:t xml:space="preserve">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="00CA5921" w:rsidRPr="008C4658">
        <w:rPr>
          <w:rFonts w:ascii="Times New Roman" w:hAnsi="Times New Roman" w:cs="Times New Roman"/>
          <w:color w:val="000000" w:themeColor="text1"/>
          <w:sz w:val="28"/>
        </w:rPr>
        <w:t>«</w:t>
      </w:r>
      <w:r w:rsidR="00CA5921" w:rsidRPr="008C4658">
        <w:rPr>
          <w:rFonts w:ascii="Times New Roman" w:hAnsi="Times New Roman" w:cs="Times New Roman"/>
          <w:sz w:val="28"/>
        </w:rPr>
        <w:t>О правилах казначейского сопровождения</w:t>
      </w:r>
      <w:r w:rsidR="00CA5921" w:rsidRPr="008C4658">
        <w:rPr>
          <w:rFonts w:ascii="Times New Roman" w:hAnsi="Times New Roman" w:cs="Times New Roman"/>
          <w:color w:val="000000" w:themeColor="text1"/>
          <w:sz w:val="28"/>
        </w:rPr>
        <w:t>».</w:t>
      </w:r>
    </w:p>
    <w:p w:rsidR="00CA5921" w:rsidRDefault="00CA5921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5E34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4BDE" w:rsidRPr="00356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</w:t>
      </w:r>
      <w:r w:rsidR="00A577FF" w:rsidRPr="00456A91">
        <w:rPr>
          <w:rFonts w:ascii="Times New Roman" w:hAnsi="Times New Roman" w:cs="Times New Roman"/>
          <w:b/>
          <w:color w:val="000000"/>
          <w:sz w:val="28"/>
          <w:szCs w:val="28"/>
        </w:rPr>
        <w:t>ление в силу настоящего решения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0701" w:rsidRPr="003566C8" w:rsidRDefault="00D64BDE" w:rsidP="003566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EE27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566C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E31D2C" w:rsidRDefault="005D7361" w:rsidP="005D7361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D7361" w:rsidRPr="003566C8" w:rsidRDefault="005D7361" w:rsidP="005D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85363F" w:rsidRPr="00E31D2C">
        <w:rPr>
          <w:rFonts w:ascii="Times New Roman" w:hAnsi="Times New Roman" w:cs="Times New Roman"/>
          <w:sz w:val="28"/>
          <w:szCs w:val="28"/>
        </w:rPr>
        <w:t>Ивановского</w:t>
      </w:r>
      <w:r w:rsidRPr="00E31D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E31D2C" w:rsidRPr="00E31D2C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0044" w:rsidRDefault="006B0044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0044" w:rsidRDefault="006B0044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92286" w:rsidRPr="00E31D2C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E31D2C" w:rsidRDefault="00E31D2C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 w:rsidRPr="00E31D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08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751333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BB5517" w:rsidRPr="001E2234" w:rsidTr="00721360">
              <w:trPr>
                <w:trHeight w:val="85"/>
              </w:trPr>
              <w:tc>
                <w:tcPr>
                  <w:tcW w:w="10208" w:type="dxa"/>
                </w:tcPr>
                <w:p w:rsidR="00BB5517" w:rsidRPr="00A82467" w:rsidRDefault="00BB5517" w:rsidP="00CD1961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BB5517" w:rsidRPr="00BB5517" w:rsidRDefault="00BB5517" w:rsidP="00CD1961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5517" w:rsidRPr="00BB5517" w:rsidRDefault="00BB5517" w:rsidP="00CD19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C414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B1EF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3 721,2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AB1E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AB1E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AB1E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840,4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B1EF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968,8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239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</w:t>
                        </w:r>
                        <w:r w:rsidR="0062392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239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2392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809,0</w:t>
                        </w:r>
                      </w:p>
                    </w:tc>
                  </w:tr>
                  <w:tr w:rsidR="00BB5517" w:rsidRPr="00B6369F" w:rsidTr="006D0316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181,0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057,0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655,0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655,0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422,7</w:t>
                        </w:r>
                      </w:p>
                    </w:tc>
                  </w:tr>
                  <w:tr w:rsidR="00BB5517" w:rsidRPr="00B6369F" w:rsidTr="006642ED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FD5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ИСПОЛЬЗОВАНИЯ ИМУЩЕСТВА, НАХОДЯЩЕГОСЯ В ГОСУДАРСТВЕННОЙ И МУНИЦИПАЛЬНОЙ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402,0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420,7</w:t>
                        </w:r>
                      </w:p>
                    </w:tc>
                  </w:tr>
                  <w:tr w:rsidR="00BB5517" w:rsidRPr="00B6369F" w:rsidTr="006D0316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420,7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248,2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248,2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769,1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727,8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863,2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769,1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863,2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947B0C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092F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на осуществление первичного воинского учета </w:t>
                        </w:r>
                        <w:r w:rsidR="00092FA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органами местного самоуправления поселений, муниципальных и городских округов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092F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сельских поселений на осуществление первичного воинского учета </w:t>
                        </w:r>
                        <w:r w:rsidR="00092FA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091,6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ind w:right="-2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091,6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091,6</w:t>
                        </w:r>
                      </w:p>
                    </w:tc>
                  </w:tr>
                  <w:tr w:rsidR="00BB5517" w:rsidRPr="00B6369F" w:rsidTr="006642ED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2 02 49999 00 0000 150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642ED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A62EDD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832,0</w:t>
                        </w:r>
                      </w:p>
                    </w:tc>
                  </w:tr>
                </w:tbl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Pr="00A8246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D025E2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D025E2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2" w:rsidRPr="00DF22FF" w:rsidRDefault="00D025E2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2" w:rsidRDefault="00D025E2" w:rsidP="00D025E2">
            <w:pPr>
              <w:jc w:val="center"/>
            </w:pPr>
            <w:r w:rsidRPr="0070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573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E2" w:rsidRDefault="00D025E2" w:rsidP="00D025E2">
            <w:pPr>
              <w:jc w:val="center"/>
            </w:pPr>
            <w:r w:rsidRPr="00BB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6 832,0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1" w:name="RANGE!A1:C46"/>
      <w:bookmarkEnd w:id="1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A5617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A5617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7 568,2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A5617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6 832,0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3 796,8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65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A65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65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A65D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3 686,0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65D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65D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015E2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65D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65D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</w:tr>
            <w:tr w:rsidR="00EF5F5C" w:rsidRPr="00993D26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</w:tr>
            <w:tr w:rsidR="00EF5F5C" w:rsidRPr="00993D26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515,3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A403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358,2</w:t>
                  </w:r>
                </w:p>
              </w:tc>
            </w:tr>
            <w:tr w:rsidR="00EF5F5C" w:rsidRPr="00993D26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80F7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619,8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65D9C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65D9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EF5F5C" w:rsidRPr="00993D26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EF5F5C" w:rsidRPr="00993D26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C92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C924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A62DF4" w:rsidTr="00D8515D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C92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C924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9248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287,1</w:t>
                  </w:r>
                </w:p>
              </w:tc>
            </w:tr>
            <w:tr w:rsidR="0097357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4B7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287,1</w:t>
                  </w:r>
                </w:p>
              </w:tc>
            </w:tr>
            <w:tr w:rsidR="00EF5F5C" w:rsidRPr="00993D26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735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 w:rsidR="009735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735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BA0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1C7C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14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357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A12E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F0362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9F036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9F0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F036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8597F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D6D2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D6D2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D6D2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D6D2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1 609,2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1 609,2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846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6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1 609,3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1 609,3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Pr="00421170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7 568,2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6 832,0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7 568,2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6 832,0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</w:tr>
                  <w:tr w:rsidR="001035ED" w:rsidRPr="001035E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</w:tr>
                  <w:tr w:rsidR="001035ED" w:rsidRPr="001035E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1035ED" w:rsidRPr="001035E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</w:tr>
                  <w:tr w:rsidR="001035ED" w:rsidRPr="001035ED" w:rsidTr="001035ED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1035E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E333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</w:t>
                        </w:r>
                        <w:r w:rsid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140,3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287,1</w:t>
                        </w:r>
                      </w:p>
                    </w:tc>
                  </w:tr>
                  <w:tr w:rsidR="001035ED" w:rsidRPr="001035E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634B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9634B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634B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091,6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568,2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832,0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D2D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0253E1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0253E1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521,3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65D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521,3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65D9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65D9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253E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93,4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B41C3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93,4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1 649,6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1 851,7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1 091,6</w:t>
                        </w:r>
                      </w:p>
                    </w:tc>
                  </w:tr>
                  <w:tr w:rsidR="00EF5F5C" w:rsidRPr="006738C5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D07D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</w:t>
                        </w:r>
                        <w:r w:rsidR="00D07DC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140,3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287,1</w:t>
                        </w:r>
                      </w:p>
                    </w:tc>
                  </w:tr>
                  <w:tr w:rsidR="00EF5F5C" w:rsidRPr="006738C5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07DCA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07DCA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643CE0" w:rsidRPr="00D67E79" w:rsidRDefault="00643CE0" w:rsidP="00643CE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43CE0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43CE0" w:rsidRPr="00D67E79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772C14">
        <w:rPr>
          <w:rFonts w:ascii="Times New Roman" w:hAnsi="Times New Roman"/>
          <w:sz w:val="28"/>
          <w:szCs w:val="28"/>
        </w:rPr>
        <w:t>3 год  и на плановый период 2024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772C14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E46C77" w:rsidRPr="00E46C77" w:rsidRDefault="00E46C77" w:rsidP="0099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9C" w:rsidRDefault="002A299C" w:rsidP="002A299C">
      <w:pPr>
        <w:rPr>
          <w:rFonts w:ascii="Times New Roman" w:hAnsi="Times New Roman" w:cs="Times New Roman"/>
          <w:sz w:val="24"/>
          <w:szCs w:val="24"/>
        </w:rPr>
      </w:pPr>
    </w:p>
    <w:p w:rsidR="0043230F" w:rsidRPr="002E492A" w:rsidRDefault="0043230F" w:rsidP="00432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 год и на плановый период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A299C" w:rsidRPr="002E492A" w:rsidRDefault="002A299C" w:rsidP="002A29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2A299C" w:rsidRPr="006F37D8" w:rsidTr="006F37D8">
        <w:tc>
          <w:tcPr>
            <w:tcW w:w="180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2A299C" w:rsidRPr="006F37D8" w:rsidTr="006F37D8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27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2A299C" w:rsidRPr="006F37D8" w:rsidRDefault="002A299C" w:rsidP="002A29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C60140" w:rsidRPr="006F37D8" w:rsidTr="00224EC9">
        <w:trPr>
          <w:tblHeader/>
        </w:trPr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C60140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88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125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89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985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C60140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C60140" w:rsidRPr="006F37D8" w:rsidTr="00224EC9">
        <w:tc>
          <w:tcPr>
            <w:tcW w:w="1851" w:type="dxa"/>
          </w:tcPr>
          <w:p w:rsidR="002A299C" w:rsidRPr="006728C2" w:rsidRDefault="002A299C" w:rsidP="00B677A8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</w:t>
            </w:r>
            <w:r w:rsidR="00B677A8"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2A299C" w:rsidRPr="006728C2" w:rsidRDefault="002A299C" w:rsidP="00224EC9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2 02 35118 10 0000 150</w:t>
            </w:r>
          </w:p>
        </w:tc>
        <w:tc>
          <w:tcPr>
            <w:tcW w:w="987" w:type="dxa"/>
          </w:tcPr>
          <w:p w:rsidR="002A299C" w:rsidRPr="006728C2" w:rsidRDefault="00F27BCA" w:rsidP="00224EC9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101,1</w:t>
            </w:r>
          </w:p>
        </w:tc>
        <w:tc>
          <w:tcPr>
            <w:tcW w:w="988" w:type="dxa"/>
          </w:tcPr>
          <w:p w:rsidR="002A299C" w:rsidRPr="006728C2" w:rsidRDefault="00F27BCA" w:rsidP="00224EC9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104,5</w:t>
            </w:r>
          </w:p>
        </w:tc>
        <w:tc>
          <w:tcPr>
            <w:tcW w:w="1125" w:type="dxa"/>
          </w:tcPr>
          <w:p w:rsidR="002A299C" w:rsidRPr="006728C2" w:rsidRDefault="00F27BCA" w:rsidP="00224EC9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0,0</w:t>
            </w:r>
          </w:p>
        </w:tc>
        <w:tc>
          <w:tcPr>
            <w:tcW w:w="1890" w:type="dxa"/>
          </w:tcPr>
          <w:p w:rsidR="002A299C" w:rsidRPr="006728C2" w:rsidRDefault="002A299C" w:rsidP="00C60140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 w:rsidR="00C60140"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воинско</w:t>
            </w:r>
            <w:r w:rsidR="00C60140"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 w:rsidR="00C60140"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="00C60140"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 w:rsidR="00C60140">
              <w:rPr>
                <w:color w:val="000000"/>
                <w:sz w:val="24"/>
                <w:szCs w:val="24"/>
              </w:rPr>
              <w:lastRenderedPageBreak/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 w:rsidR="00C60140"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 w:rsidR="00C6014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="00E04176" w:rsidRPr="006728C2">
              <w:rPr>
                <w:color w:val="000000"/>
                <w:sz w:val="24"/>
                <w:szCs w:val="24"/>
              </w:rPr>
              <w:t>Ивановского</w:t>
            </w:r>
            <w:r w:rsidRPr="006728C2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C6014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9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985" w:type="dxa"/>
          </w:tcPr>
          <w:p w:rsidR="002A299C" w:rsidRPr="006F37D8" w:rsidRDefault="00F27BCA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A299C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005" w:rsidRDefault="00635005" w:rsidP="00635005"/>
    <w:p w:rsidR="0039649E" w:rsidRDefault="0039649E" w:rsidP="00DF22FF">
      <w:pPr>
        <w:rPr>
          <w:rFonts w:ascii="Times New Roman" w:hAnsi="Times New Roman" w:cs="Times New Roman"/>
          <w:sz w:val="24"/>
          <w:szCs w:val="24"/>
        </w:rPr>
        <w:sectPr w:rsidR="0039649E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067317" w:rsidRPr="0066766F" w:rsidRDefault="001C3762" w:rsidP="0066766F">
      <w:pPr>
        <w:pStyle w:val="a7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73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470C" w:rsidRPr="00D67E79" w:rsidRDefault="00A3470C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3470C" w:rsidRPr="00D67E79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14262C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4262C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14262C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A3470C" w:rsidRDefault="00A3470C" w:rsidP="001039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76926" w:rsidRPr="001039EE" w:rsidRDefault="00776926" w:rsidP="001039EE">
      <w:pPr>
        <w:rPr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 w:rsidR="0014262C"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Pr="00D67E79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14262C"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77692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77692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77692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76926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Pr="00C9257A" w:rsidRDefault="00C9257A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F27BC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C9257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6F37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</w:tbl>
    <w:p w:rsidR="00776926" w:rsidRPr="0087730B" w:rsidRDefault="00776926" w:rsidP="00716AA0">
      <w:pPr>
        <w:jc w:val="right"/>
        <w:rPr>
          <w:sz w:val="24"/>
          <w:szCs w:val="24"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Pr="00D67E79" w:rsidRDefault="00B61720" w:rsidP="00B6172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B61720" w:rsidRP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934E98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934E98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934E98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66766F" w:rsidRPr="00D67E79" w:rsidRDefault="0066766F" w:rsidP="00CD08E4">
      <w:pPr>
        <w:tabs>
          <w:tab w:val="left" w:pos="4678"/>
        </w:tabs>
        <w:rPr>
          <w:bCs/>
          <w:sz w:val="28"/>
          <w:szCs w:val="28"/>
        </w:rPr>
      </w:pPr>
    </w:p>
    <w:p w:rsidR="00B61720" w:rsidRPr="00D67E79" w:rsidRDefault="00B61720" w:rsidP="00B61720">
      <w:pPr>
        <w:jc w:val="center"/>
        <w:rPr>
          <w:b/>
          <w:bCs/>
          <w:sz w:val="28"/>
          <w:szCs w:val="28"/>
        </w:rPr>
      </w:pP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934E98">
        <w:rPr>
          <w:rFonts w:ascii="Times New Roman" w:hAnsi="Times New Roman" w:cs="Times New Roman"/>
          <w:b/>
          <w:sz w:val="28"/>
          <w:szCs w:val="28"/>
        </w:rPr>
        <w:t>3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934E98">
        <w:rPr>
          <w:rFonts w:ascii="Times New Roman" w:hAnsi="Times New Roman" w:cs="Times New Roman"/>
          <w:b/>
          <w:sz w:val="28"/>
          <w:szCs w:val="28"/>
        </w:rPr>
        <w:t>4 и 2025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720" w:rsidRDefault="00B61720" w:rsidP="00B61720">
      <w:pPr>
        <w:jc w:val="center"/>
        <w:rPr>
          <w:b/>
          <w:bCs/>
          <w:sz w:val="24"/>
          <w:szCs w:val="24"/>
        </w:rPr>
      </w:pPr>
    </w:p>
    <w:p w:rsidR="00B61720" w:rsidRDefault="00B61720" w:rsidP="00B61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F6591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F5CF8" w:rsidRPr="000F5CF8" w:rsidTr="0067024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2022</w:t>
            </w:r>
          </w:p>
        </w:tc>
        <w:tc>
          <w:tcPr>
            <w:tcW w:w="1816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2024</w:t>
            </w:r>
          </w:p>
        </w:tc>
      </w:tr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5631DE" w:rsidRPr="000F5CF8" w:rsidRDefault="00934E98" w:rsidP="000F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5631DE" w:rsidRPr="000F5CF8" w:rsidRDefault="005631DE" w:rsidP="00934E9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</w:t>
            </w:r>
            <w:r w:rsidR="00934E98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9173D1" w:rsidRPr="00B507C7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F6591D" w:rsidRPr="00B507C7">
        <w:rPr>
          <w:rFonts w:ascii="Times New Roman" w:hAnsi="Times New Roman"/>
          <w:sz w:val="28"/>
          <w:szCs w:val="28"/>
        </w:rPr>
        <w:t>9</w:t>
      </w:r>
    </w:p>
    <w:p w:rsid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</w:t>
      </w:r>
      <w:r w:rsidR="0066766F" w:rsidRPr="00B507C7">
        <w:rPr>
          <w:rFonts w:ascii="Times New Roman" w:hAnsi="Times New Roman"/>
          <w:sz w:val="28"/>
          <w:szCs w:val="28"/>
        </w:rPr>
        <w:t>ю</w:t>
      </w:r>
      <w:r w:rsidRPr="00B507C7">
        <w:rPr>
          <w:rFonts w:ascii="Times New Roman" w:hAnsi="Times New Roman"/>
          <w:sz w:val="28"/>
          <w:szCs w:val="28"/>
        </w:rPr>
        <w:t xml:space="preserve"> Собрания депутатов Ивановского сельского поселения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</w:t>
      </w:r>
      <w:r w:rsidR="00CD2572" w:rsidRPr="00B507C7">
        <w:rPr>
          <w:rFonts w:ascii="Times New Roman" w:hAnsi="Times New Roman"/>
          <w:sz w:val="28"/>
          <w:szCs w:val="28"/>
        </w:rPr>
        <w:t>2</w:t>
      </w:r>
      <w:r w:rsidR="002C7BA6">
        <w:rPr>
          <w:rFonts w:ascii="Times New Roman" w:hAnsi="Times New Roman"/>
          <w:sz w:val="28"/>
          <w:szCs w:val="28"/>
        </w:rPr>
        <w:t>3</w:t>
      </w:r>
      <w:r w:rsidR="00A95A8F"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2C7BA6"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2C7BA6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Ивановского сельского поселения </w:t>
      </w:r>
      <w:r w:rsidR="00DB6B1E" w:rsidRPr="00B507C7">
        <w:rPr>
          <w:rFonts w:ascii="Times New Roman" w:hAnsi="Times New Roman"/>
          <w:b/>
          <w:sz w:val="28"/>
          <w:szCs w:val="28"/>
        </w:rPr>
        <w:t xml:space="preserve">на </w:t>
      </w:r>
      <w:r w:rsidRPr="00B507C7">
        <w:rPr>
          <w:rFonts w:ascii="Times New Roman" w:hAnsi="Times New Roman"/>
          <w:b/>
          <w:sz w:val="28"/>
          <w:szCs w:val="28"/>
        </w:rPr>
        <w:t xml:space="preserve"> 20</w:t>
      </w:r>
      <w:r w:rsidR="00CD2572" w:rsidRPr="00B507C7">
        <w:rPr>
          <w:rFonts w:ascii="Times New Roman" w:hAnsi="Times New Roman"/>
          <w:b/>
          <w:sz w:val="28"/>
          <w:szCs w:val="28"/>
        </w:rPr>
        <w:t>2</w:t>
      </w:r>
      <w:r w:rsidR="002C7BA6">
        <w:rPr>
          <w:rFonts w:ascii="Times New Roman" w:hAnsi="Times New Roman"/>
          <w:b/>
          <w:sz w:val="28"/>
          <w:szCs w:val="28"/>
        </w:rPr>
        <w:t>3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 w:rsidRPr="00B507C7"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 w:rsidR="002C7BA6"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2C7BA6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6728C2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6728C2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6728C2">
        <w:rPr>
          <w:rFonts w:ascii="Times New Roman" w:hAnsi="Times New Roman"/>
          <w:sz w:val="24"/>
          <w:szCs w:val="24"/>
        </w:rPr>
        <w:t>е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6728C2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="008B7457" w:rsidRPr="006728C2">
        <w:rPr>
          <w:rFonts w:ascii="Times New Roman" w:hAnsi="Times New Roman"/>
          <w:sz w:val="24"/>
          <w:szCs w:val="24"/>
        </w:rPr>
        <w:t xml:space="preserve"> </w:t>
      </w:r>
      <w:r w:rsidRPr="006728C2">
        <w:rPr>
          <w:rFonts w:ascii="Times New Roman" w:hAnsi="Times New Roman"/>
          <w:sz w:val="24"/>
          <w:szCs w:val="24"/>
        </w:rPr>
        <w:t>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6728C2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="00827590"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6728C2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="00F81EC5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</w:t>
      </w:r>
      <w:r w:rsidR="00F81EC5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F81EC5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33" w:rsidRDefault="00E95833" w:rsidP="00F74958">
      <w:pPr>
        <w:spacing w:after="0" w:line="240" w:lineRule="auto"/>
      </w:pPr>
      <w:r>
        <w:separator/>
      </w:r>
    </w:p>
  </w:endnote>
  <w:endnote w:type="continuationSeparator" w:id="0">
    <w:p w:rsidR="00E95833" w:rsidRDefault="00E9583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B1" w:rsidRDefault="008174B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74B1" w:rsidRDefault="008174B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B1" w:rsidRDefault="008174B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B0044">
      <w:rPr>
        <w:rStyle w:val="af0"/>
        <w:noProof/>
      </w:rPr>
      <w:t>45</w:t>
    </w:r>
    <w:r>
      <w:rPr>
        <w:rStyle w:val="af0"/>
      </w:rPr>
      <w:fldChar w:fldCharType="end"/>
    </w:r>
  </w:p>
  <w:p w:rsidR="008174B1" w:rsidRDefault="008174B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174B1" w:rsidRDefault="008174B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33" w:rsidRDefault="00E95833" w:rsidP="00F74958">
      <w:pPr>
        <w:spacing w:after="0" w:line="240" w:lineRule="auto"/>
      </w:pPr>
      <w:r>
        <w:separator/>
      </w:r>
    </w:p>
  </w:footnote>
  <w:footnote w:type="continuationSeparator" w:id="0">
    <w:p w:rsidR="00E95833" w:rsidRDefault="00E9583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B1" w:rsidRDefault="008174B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74B1" w:rsidRDefault="008174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B1" w:rsidRDefault="008174B1" w:rsidP="00EB462E">
    <w:pPr>
      <w:pStyle w:val="a8"/>
      <w:framePr w:wrap="around" w:vAnchor="text" w:hAnchor="margin" w:xAlign="center" w:y="1"/>
      <w:rPr>
        <w:rStyle w:val="af0"/>
      </w:rPr>
    </w:pPr>
  </w:p>
  <w:p w:rsidR="008174B1" w:rsidRDefault="0081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253E1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2DC4"/>
    <w:rsid w:val="0007683A"/>
    <w:rsid w:val="00077975"/>
    <w:rsid w:val="00082783"/>
    <w:rsid w:val="00084083"/>
    <w:rsid w:val="00084F6C"/>
    <w:rsid w:val="00085AF7"/>
    <w:rsid w:val="00092FA7"/>
    <w:rsid w:val="00094B5A"/>
    <w:rsid w:val="00095469"/>
    <w:rsid w:val="00097CC2"/>
    <w:rsid w:val="000A083B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17CCF"/>
    <w:rsid w:val="00120050"/>
    <w:rsid w:val="001205F8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3F4F"/>
    <w:rsid w:val="00164351"/>
    <w:rsid w:val="00167F84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5ED"/>
    <w:rsid w:val="001D7A49"/>
    <w:rsid w:val="001E0248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3982"/>
    <w:rsid w:val="002441EF"/>
    <w:rsid w:val="0025620B"/>
    <w:rsid w:val="002565CC"/>
    <w:rsid w:val="00260A34"/>
    <w:rsid w:val="00260E30"/>
    <w:rsid w:val="0026193E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86EB9"/>
    <w:rsid w:val="00291E7D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C7BA6"/>
    <w:rsid w:val="002D0E1C"/>
    <w:rsid w:val="002D1383"/>
    <w:rsid w:val="002D2D0A"/>
    <w:rsid w:val="002D3605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3592"/>
    <w:rsid w:val="003540C0"/>
    <w:rsid w:val="003554E2"/>
    <w:rsid w:val="003566C8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1EB1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3B4B"/>
    <w:rsid w:val="004A0E0E"/>
    <w:rsid w:val="004A221D"/>
    <w:rsid w:val="004A5ED2"/>
    <w:rsid w:val="004B03B9"/>
    <w:rsid w:val="004C0001"/>
    <w:rsid w:val="004C1AC1"/>
    <w:rsid w:val="004C35F1"/>
    <w:rsid w:val="004C4B3B"/>
    <w:rsid w:val="004C708F"/>
    <w:rsid w:val="004D15E2"/>
    <w:rsid w:val="004D1C78"/>
    <w:rsid w:val="004D40A2"/>
    <w:rsid w:val="004D48E2"/>
    <w:rsid w:val="004E016D"/>
    <w:rsid w:val="004F1ECA"/>
    <w:rsid w:val="004F2DE6"/>
    <w:rsid w:val="004F3312"/>
    <w:rsid w:val="004F511A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7251"/>
    <w:rsid w:val="00571005"/>
    <w:rsid w:val="0057532B"/>
    <w:rsid w:val="00577573"/>
    <w:rsid w:val="00584D7C"/>
    <w:rsid w:val="00585D06"/>
    <w:rsid w:val="0059551F"/>
    <w:rsid w:val="00595F4E"/>
    <w:rsid w:val="00596E1B"/>
    <w:rsid w:val="00596FFD"/>
    <w:rsid w:val="005A0076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2554"/>
    <w:rsid w:val="00602AB9"/>
    <w:rsid w:val="006079A7"/>
    <w:rsid w:val="00611538"/>
    <w:rsid w:val="0061277D"/>
    <w:rsid w:val="00615F2C"/>
    <w:rsid w:val="00617EBA"/>
    <w:rsid w:val="00621BA4"/>
    <w:rsid w:val="00622CEF"/>
    <w:rsid w:val="00623928"/>
    <w:rsid w:val="00626494"/>
    <w:rsid w:val="00635005"/>
    <w:rsid w:val="006411D3"/>
    <w:rsid w:val="00641F4A"/>
    <w:rsid w:val="00643302"/>
    <w:rsid w:val="00643CE0"/>
    <w:rsid w:val="0064745F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80278"/>
    <w:rsid w:val="00680CDC"/>
    <w:rsid w:val="00680D04"/>
    <w:rsid w:val="0068542E"/>
    <w:rsid w:val="006A3DA9"/>
    <w:rsid w:val="006B0044"/>
    <w:rsid w:val="006B26C1"/>
    <w:rsid w:val="006B41C2"/>
    <w:rsid w:val="006B633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E12"/>
    <w:rsid w:val="00753C4E"/>
    <w:rsid w:val="00760A48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6776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C2E41"/>
    <w:rsid w:val="008C4658"/>
    <w:rsid w:val="008D19C2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4409"/>
    <w:rsid w:val="00947089"/>
    <w:rsid w:val="00947B0C"/>
    <w:rsid w:val="009610D0"/>
    <w:rsid w:val="009634B4"/>
    <w:rsid w:val="009641EA"/>
    <w:rsid w:val="009645D0"/>
    <w:rsid w:val="00967A9C"/>
    <w:rsid w:val="00967BA6"/>
    <w:rsid w:val="0097357C"/>
    <w:rsid w:val="0098031F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AAD"/>
    <w:rsid w:val="009B741B"/>
    <w:rsid w:val="009C4CB7"/>
    <w:rsid w:val="009C5B80"/>
    <w:rsid w:val="009D0FE9"/>
    <w:rsid w:val="009D54A2"/>
    <w:rsid w:val="009E3264"/>
    <w:rsid w:val="009F036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360AB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2EDD"/>
    <w:rsid w:val="00A634BE"/>
    <w:rsid w:val="00A65D9C"/>
    <w:rsid w:val="00A65E05"/>
    <w:rsid w:val="00A66775"/>
    <w:rsid w:val="00A72635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77A8"/>
    <w:rsid w:val="00B83887"/>
    <w:rsid w:val="00B92D66"/>
    <w:rsid w:val="00B94A5C"/>
    <w:rsid w:val="00B96A04"/>
    <w:rsid w:val="00BA04B6"/>
    <w:rsid w:val="00BA0A89"/>
    <w:rsid w:val="00BA10D7"/>
    <w:rsid w:val="00BA211D"/>
    <w:rsid w:val="00BA676F"/>
    <w:rsid w:val="00BB130D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334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0F71"/>
    <w:rsid w:val="00C8517C"/>
    <w:rsid w:val="00C872F3"/>
    <w:rsid w:val="00C9118F"/>
    <w:rsid w:val="00C913E9"/>
    <w:rsid w:val="00C9248F"/>
    <w:rsid w:val="00C9257A"/>
    <w:rsid w:val="00C97B2A"/>
    <w:rsid w:val="00CA1A2B"/>
    <w:rsid w:val="00CA5921"/>
    <w:rsid w:val="00CB6A4B"/>
    <w:rsid w:val="00CB6C0F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F3AD6"/>
    <w:rsid w:val="00D00808"/>
    <w:rsid w:val="00D025E2"/>
    <w:rsid w:val="00D0315F"/>
    <w:rsid w:val="00D03FB3"/>
    <w:rsid w:val="00D07DCA"/>
    <w:rsid w:val="00D1271C"/>
    <w:rsid w:val="00D14FE5"/>
    <w:rsid w:val="00D210AB"/>
    <w:rsid w:val="00D22D9B"/>
    <w:rsid w:val="00D27E80"/>
    <w:rsid w:val="00D3083C"/>
    <w:rsid w:val="00D316FA"/>
    <w:rsid w:val="00D35487"/>
    <w:rsid w:val="00D36F0A"/>
    <w:rsid w:val="00D40936"/>
    <w:rsid w:val="00D41D09"/>
    <w:rsid w:val="00D43CA8"/>
    <w:rsid w:val="00D5158A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BE2"/>
    <w:rsid w:val="00D90C0B"/>
    <w:rsid w:val="00D93C1A"/>
    <w:rsid w:val="00D94276"/>
    <w:rsid w:val="00D959EF"/>
    <w:rsid w:val="00DA2787"/>
    <w:rsid w:val="00DA69BE"/>
    <w:rsid w:val="00DB0619"/>
    <w:rsid w:val="00DB58BE"/>
    <w:rsid w:val="00DB6B1E"/>
    <w:rsid w:val="00DC3E12"/>
    <w:rsid w:val="00DC63C0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4E06"/>
    <w:rsid w:val="00E16AD6"/>
    <w:rsid w:val="00E20400"/>
    <w:rsid w:val="00E238B1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7BF7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2785"/>
    <w:rsid w:val="00EE4954"/>
    <w:rsid w:val="00EE4BD2"/>
    <w:rsid w:val="00EE6E00"/>
    <w:rsid w:val="00EF0B6E"/>
    <w:rsid w:val="00EF0F82"/>
    <w:rsid w:val="00EF5F5C"/>
    <w:rsid w:val="00F0075B"/>
    <w:rsid w:val="00F01CCD"/>
    <w:rsid w:val="00F0681A"/>
    <w:rsid w:val="00F074B2"/>
    <w:rsid w:val="00F10B10"/>
    <w:rsid w:val="00F12746"/>
    <w:rsid w:val="00F16BCC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51453"/>
    <w:rsid w:val="00F52691"/>
    <w:rsid w:val="00F6591D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23C1"/>
    <w:rsid w:val="00FB3EF0"/>
    <w:rsid w:val="00FB648B"/>
    <w:rsid w:val="00FC285C"/>
    <w:rsid w:val="00FC34E7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5224-7902-4546-B52A-3033B9CC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45</Pages>
  <Words>8990</Words>
  <Characters>51246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670</cp:revision>
  <cp:lastPrinted>2019-12-25T13:26:00Z</cp:lastPrinted>
  <dcterms:created xsi:type="dcterms:W3CDTF">2016-12-05T10:24:00Z</dcterms:created>
  <dcterms:modified xsi:type="dcterms:W3CDTF">2022-11-14T11:44:00Z</dcterms:modified>
</cp:coreProperties>
</file>