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461C0B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B1613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0637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840637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840637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461C0B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CE1A7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CE1A7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E1A7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CE1A78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840637">
        <w:rPr>
          <w:sz w:val="28"/>
        </w:rPr>
        <w:t>__</w:t>
      </w:r>
      <w:r w:rsidR="004C17AD" w:rsidRPr="00DA2A20">
        <w:rPr>
          <w:sz w:val="28"/>
        </w:rPr>
        <w:t>.</w:t>
      </w:r>
      <w:r w:rsidR="00840637">
        <w:rPr>
          <w:sz w:val="28"/>
        </w:rPr>
        <w:t>__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840637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1 285,9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503,9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1 285,9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503,9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1 285,9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503,9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 xml:space="preserve"> 754,3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1 285,9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503,9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FE72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E7265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1285,9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2B5E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B5EDD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FE72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E7265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1285,9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2B5E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B5EDD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FE72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E7265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1285,9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2B5E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B5EDD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FE72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E7265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1285,9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2B5E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B5EDD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FE72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E7265">
              <w:rPr>
                <w:color w:val="000000" w:themeColor="text1"/>
                <w:sz w:val="18"/>
                <w:szCs w:val="18"/>
              </w:rPr>
              <w:t>7186,8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B5EDD" w:rsidP="008C42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2D590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2D5900">
              <w:rPr>
                <w:color w:val="000000" w:themeColor="text1"/>
                <w:kern w:val="2"/>
                <w:sz w:val="18"/>
                <w:szCs w:val="18"/>
              </w:rPr>
              <w:t>1285,9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2D590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D5900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2D590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2D5900">
              <w:rPr>
                <w:color w:val="000000" w:themeColor="text1"/>
                <w:kern w:val="2"/>
                <w:sz w:val="18"/>
                <w:szCs w:val="18"/>
              </w:rPr>
              <w:t>1285,9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2D590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D5900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2D590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2D5900">
              <w:rPr>
                <w:color w:val="000000" w:themeColor="text1"/>
                <w:kern w:val="2"/>
                <w:sz w:val="18"/>
                <w:szCs w:val="18"/>
              </w:rPr>
              <w:t>1285,9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2D590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D5900">
              <w:rPr>
                <w:bCs/>
                <w:color w:val="000000" w:themeColor="text1"/>
                <w:sz w:val="18"/>
                <w:szCs w:val="18"/>
              </w:rPr>
              <w:t>503,9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2D590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2D5900">
              <w:rPr>
                <w:color w:val="000000" w:themeColor="text1"/>
                <w:kern w:val="2"/>
                <w:sz w:val="18"/>
                <w:szCs w:val="18"/>
              </w:rPr>
              <w:t>1285,9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2D590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D5900">
              <w:rPr>
                <w:bCs/>
                <w:color w:val="000000" w:themeColor="text1"/>
                <w:sz w:val="18"/>
                <w:szCs w:val="18"/>
              </w:rPr>
              <w:t>503,9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0B" w:rsidRDefault="00461C0B">
      <w:r>
        <w:separator/>
      </w:r>
    </w:p>
  </w:endnote>
  <w:endnote w:type="continuationSeparator" w:id="0">
    <w:p w:rsidR="00461C0B" w:rsidRDefault="0046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5900">
      <w:rPr>
        <w:rStyle w:val="ab"/>
        <w:noProof/>
      </w:rPr>
      <w:t>1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5900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0B" w:rsidRDefault="00461C0B">
      <w:r>
        <w:separator/>
      </w:r>
    </w:p>
  </w:footnote>
  <w:footnote w:type="continuationSeparator" w:id="0">
    <w:p w:rsidR="00461C0B" w:rsidRDefault="0046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53B21"/>
    <w:rsid w:val="001541DA"/>
    <w:rsid w:val="00181263"/>
    <w:rsid w:val="00182EAF"/>
    <w:rsid w:val="001A00A4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A3B7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1D6D-D25E-4B0F-AA0A-B5F37A27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962</TotalTime>
  <Pages>17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99</cp:revision>
  <cp:lastPrinted>2022-09-26T08:45:00Z</cp:lastPrinted>
  <dcterms:created xsi:type="dcterms:W3CDTF">2018-10-26T05:50:00Z</dcterms:created>
  <dcterms:modified xsi:type="dcterms:W3CDTF">2022-11-01T13:46:00Z</dcterms:modified>
</cp:coreProperties>
</file>