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Сальский район</w:t>
      </w:r>
    </w:p>
    <w:p w:rsidR="006F1DE8" w:rsidRPr="004E3855" w:rsidRDefault="006F1DE8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ПОСТАНОВЛЕНИЕ   </w:t>
      </w:r>
      <w:r w:rsidR="005E43A0" w:rsidRPr="004E3855">
        <w:rPr>
          <w:b/>
          <w:sz w:val="28"/>
          <w:szCs w:val="28"/>
          <w:lang w:eastAsia="ru-RU"/>
        </w:rPr>
        <w:t>Проект</w:t>
      </w:r>
      <w:r w:rsidRPr="004E3855">
        <w:rPr>
          <w:b/>
          <w:sz w:val="28"/>
          <w:szCs w:val="28"/>
          <w:lang w:eastAsia="ru-RU"/>
        </w:rPr>
        <w:t xml:space="preserve">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</w:t>
      </w:r>
      <w:r w:rsidR="005E43A0" w:rsidRPr="004E3855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 xml:space="preserve">.2022г.                                                                                                  № </w:t>
      </w:r>
      <w:r w:rsidR="005E43A0" w:rsidRPr="004E3855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 xml:space="preserve">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4E3855">
        <w:rPr>
          <w:sz w:val="28"/>
          <w:szCs w:val="28"/>
          <w:lang w:eastAsia="ru-RU"/>
        </w:rPr>
        <w:t>с</w:t>
      </w:r>
      <w:proofErr w:type="gramEnd"/>
      <w:r w:rsidRPr="004E3855">
        <w:rPr>
          <w:sz w:val="28"/>
          <w:szCs w:val="28"/>
          <w:lang w:eastAsia="ru-RU"/>
        </w:rPr>
        <w:t>. Ивановка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4E3855">
        <w:rPr>
          <w:sz w:val="28"/>
          <w:szCs w:val="28"/>
          <w:lang w:eastAsia="ru-RU"/>
        </w:rPr>
        <w:t>при</w:t>
      </w:r>
      <w:proofErr w:type="gramEnd"/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5E43A0">
      <w:pPr>
        <w:jc w:val="both"/>
        <w:rPr>
          <w:sz w:val="28"/>
          <w:szCs w:val="28"/>
        </w:rPr>
      </w:pPr>
      <w:r w:rsidRPr="004E3855">
        <w:rPr>
          <w:sz w:val="28"/>
          <w:szCs w:val="28"/>
          <w:lang w:eastAsia="ru-RU"/>
        </w:rPr>
        <w:t>в сфере благоустройства на 2022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4E3855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11.06.2021 г. № 170-ФЗ «О внесении изменений в отдельные законодательные акты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Российской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</w:t>
      </w:r>
      <w:r>
        <w:rPr>
          <w:color w:val="212121"/>
          <w:sz w:val="28"/>
          <w:szCs w:val="28"/>
        </w:rPr>
        <w:br/>
        <w:t>№ 131-ФЗ «Об общих принципах организации местного</w:t>
      </w:r>
      <w:proofErr w:type="gramEnd"/>
      <w:r>
        <w:rPr>
          <w:color w:val="212121"/>
          <w:sz w:val="28"/>
          <w:szCs w:val="28"/>
        </w:rPr>
        <w:t xml:space="preserve">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 xml:space="preserve">Администрация Ивановского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</w:t>
      </w:r>
      <w:r w:rsidR="005E43A0" w:rsidRPr="004E3855">
        <w:rPr>
          <w:color w:val="000000"/>
          <w:sz w:val="28"/>
          <w:szCs w:val="28"/>
        </w:rPr>
        <w:t xml:space="preserve"> № 1</w:t>
      </w:r>
      <w:r w:rsidRPr="004E3855">
        <w:rPr>
          <w:color w:val="000000"/>
          <w:sz w:val="28"/>
          <w:szCs w:val="28"/>
        </w:rPr>
        <w:t>).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2.</w:t>
      </w:r>
      <w:r w:rsidR="009B6B86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 xml:space="preserve">Настоящее постановление обнародовать на информационных стендах Ивановского  сельского поселения и обеспечить его размещение на интернет-сайте администрации Ивановского  сельского поселения </w:t>
      </w:r>
      <w:hyperlink r:id="rId6" w:history="1">
        <w:r w:rsidRPr="004E3855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4E3855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E3855">
          <w:rPr>
            <w:color w:val="0000FF"/>
            <w:sz w:val="28"/>
            <w:szCs w:val="28"/>
            <w:u w:val="single"/>
            <w:lang w:val="en-US" w:eastAsia="ru-RU"/>
          </w:rPr>
          <w:t>ivanovskoe</w:t>
        </w:r>
        <w:proofErr w:type="spellEnd"/>
        <w:r w:rsidRPr="004E3855">
          <w:rPr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4E3855">
          <w:rPr>
            <w:color w:val="0000FF"/>
            <w:sz w:val="28"/>
            <w:szCs w:val="28"/>
            <w:u w:val="single"/>
            <w:lang w:val="en-US" w:eastAsia="ru-RU"/>
          </w:rPr>
          <w:t>sp</w:t>
        </w:r>
        <w:proofErr w:type="spellEnd"/>
        <w:r w:rsidRPr="004E3855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E3855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5E43A0" w:rsidRPr="004E3855" w:rsidRDefault="005E43A0" w:rsidP="005E43A0">
      <w:pPr>
        <w:tabs>
          <w:tab w:val="left" w:pos="142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3. Контроль   выполнения  постановления  оставляю за собой.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</w:t>
      </w:r>
    </w:p>
    <w:p w:rsid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Глава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Ивановского сельского поселения                </w:t>
      </w:r>
      <w:r w:rsidRPr="004E3855">
        <w:rPr>
          <w:sz w:val="28"/>
          <w:szCs w:val="28"/>
          <w:lang w:eastAsia="ru-RU"/>
        </w:rPr>
        <w:tab/>
        <w:t xml:space="preserve">             О.В. </w:t>
      </w:r>
      <w:proofErr w:type="spellStart"/>
      <w:r w:rsidRPr="004E3855">
        <w:rPr>
          <w:sz w:val="28"/>
          <w:szCs w:val="28"/>
          <w:lang w:eastAsia="ru-RU"/>
        </w:rPr>
        <w:t>Безниско</w:t>
      </w:r>
      <w:proofErr w:type="spellEnd"/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4E3855">
        <w:rPr>
          <w:sz w:val="20"/>
          <w:szCs w:val="20"/>
          <w:lang w:eastAsia="ru-RU"/>
        </w:rPr>
        <w:t xml:space="preserve">Подготовил специалист  </w:t>
      </w:r>
    </w:p>
    <w:p w:rsidR="004E3855" w:rsidRDefault="005E43A0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0"/>
          <w:szCs w:val="20"/>
          <w:lang w:eastAsia="ru-RU"/>
        </w:rPr>
        <w:t xml:space="preserve"> Мищенко В.В</w:t>
      </w:r>
      <w:r w:rsidRPr="004E3855">
        <w:rPr>
          <w:sz w:val="28"/>
          <w:szCs w:val="28"/>
          <w:lang w:eastAsia="ru-RU"/>
        </w:rPr>
        <w:t xml:space="preserve">. </w:t>
      </w:r>
      <w:r w:rsidRPr="004E3855">
        <w:rPr>
          <w:sz w:val="28"/>
          <w:szCs w:val="28"/>
          <w:lang w:eastAsia="ru-RU"/>
        </w:rPr>
        <w:tab/>
      </w:r>
    </w:p>
    <w:p w:rsidR="005E43A0" w:rsidRP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>Приложение № 1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</w:t>
      </w:r>
      <w:r w:rsidR="002B0FB0">
        <w:rPr>
          <w:sz w:val="28"/>
          <w:szCs w:val="28"/>
          <w:lang w:eastAsia="ru-RU"/>
        </w:rPr>
        <w:t xml:space="preserve">                           от </w:t>
      </w:r>
      <w:r w:rsidRPr="004E3855">
        <w:rPr>
          <w:sz w:val="28"/>
          <w:szCs w:val="28"/>
          <w:lang w:eastAsia="ru-RU"/>
        </w:rPr>
        <w:t xml:space="preserve">.2022г.  №  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bookmarkStart w:id="0" w:name="P28"/>
      <w:bookmarkEnd w:id="0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after="200" w:line="216" w:lineRule="atLeast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proofErr w:type="spellStart"/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Pr="004E3855">
              <w:rPr>
                <w:color w:val="000000"/>
                <w:sz w:val="28"/>
                <w:szCs w:val="28"/>
              </w:rPr>
              <w:t>Федерации</w:t>
            </w:r>
            <w:proofErr w:type="spellEnd"/>
            <w:r w:rsidRPr="004E3855">
              <w:rPr>
                <w:color w:val="000000"/>
                <w:sz w:val="28"/>
                <w:szCs w:val="28"/>
              </w:rPr>
              <w:t xml:space="preserve">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DB372A">
              <w:rPr>
                <w:color w:val="00000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2022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5E43A0" w:rsidRPr="004E3855">
        <w:rPr>
          <w:color w:val="212121"/>
          <w:sz w:val="28"/>
          <w:szCs w:val="28"/>
        </w:rPr>
        <w:t xml:space="preserve">Ивановского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25"/>
        <w:gridCol w:w="4331"/>
        <w:gridCol w:w="63"/>
        <w:gridCol w:w="2127"/>
        <w:gridCol w:w="30"/>
        <w:gridCol w:w="2100"/>
      </w:tblGrid>
      <w:tr w:rsidR="006F1DE8" w:rsidRPr="004E3855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Объявление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предостережений</w:t>
            </w:r>
          </w:p>
        </w:tc>
      </w:tr>
      <w:tr w:rsidR="002B0FB0" w:rsidRPr="004E3855" w:rsidTr="002B0FB0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соответствии со </w:t>
            </w:r>
            <w:bookmarkStart w:id="1" w:name="_GoBack"/>
            <w:bookmarkEnd w:id="1"/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статьей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49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Федерального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закона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31.07.2020 </w:t>
            </w:r>
            <w:r w:rsidRPr="002B0FB0">
              <w:rPr>
                <w:rFonts w:eastAsia="Segoe UI Symbol"/>
                <w:color w:val="000000"/>
                <w:sz w:val="28"/>
                <w:szCs w:val="28"/>
                <w:lang w:eastAsia="ru-RU"/>
              </w:rPr>
              <w:t>№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248-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ФЗ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государственном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надзоре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Федерации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Постоянно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наличии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оснований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2B0FB0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3855">
              <w:rPr>
                <w:sz w:val="28"/>
                <w:szCs w:val="28"/>
              </w:rPr>
              <w:t>. Консультирование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</w:t>
            </w:r>
            <w:proofErr w:type="gramStart"/>
            <w:r w:rsidRPr="004E3855">
              <w:rPr>
                <w:sz w:val="28"/>
                <w:szCs w:val="28"/>
              </w:rPr>
              <w:t xml:space="preserve"> / Н</w:t>
            </w:r>
            <w:proofErr w:type="gramEnd"/>
            <w:r w:rsidRPr="004E3855">
              <w:rPr>
                <w:sz w:val="28"/>
                <w:szCs w:val="28"/>
              </w:rPr>
              <w:t>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2B0FB0"/>
    <w:rsid w:val="004E3855"/>
    <w:rsid w:val="005E43A0"/>
    <w:rsid w:val="006F1DE8"/>
    <w:rsid w:val="00865689"/>
    <w:rsid w:val="009B6B86"/>
    <w:rsid w:val="00B5217B"/>
    <w:rsid w:val="00DB372A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ovskoe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9</cp:revision>
  <dcterms:created xsi:type="dcterms:W3CDTF">2021-11-09T14:19:00Z</dcterms:created>
  <dcterms:modified xsi:type="dcterms:W3CDTF">2022-03-14T09:00:00Z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