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bookmarkStart w:id="0" w:name="_GoBack"/>
      <w:bookmarkEnd w:id="0"/>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730FA8"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15334C">
        <w:rPr>
          <w:color w:val="auto"/>
          <w:sz w:val="28"/>
          <w:szCs w:val="28"/>
        </w:rPr>
        <w:t>13</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9F5C68">
        <w:rPr>
          <w:color w:val="auto"/>
          <w:sz w:val="28"/>
          <w:szCs w:val="28"/>
        </w:rPr>
        <w:t xml:space="preserve">               </w:t>
      </w:r>
      <w:r w:rsidR="00B06B3A" w:rsidRPr="0003103E">
        <w:rPr>
          <w:color w:val="auto"/>
          <w:sz w:val="28"/>
          <w:szCs w:val="28"/>
        </w:rPr>
        <w:t xml:space="preserve"> №</w:t>
      </w:r>
      <w:r w:rsidR="00945421">
        <w:rPr>
          <w:color w:val="auto"/>
          <w:sz w:val="28"/>
          <w:szCs w:val="28"/>
        </w:rPr>
        <w:t xml:space="preserve"> </w:t>
      </w:r>
      <w:r w:rsidR="0015334C">
        <w:rPr>
          <w:color w:val="auto"/>
          <w:sz w:val="28"/>
          <w:szCs w:val="28"/>
        </w:rPr>
        <w:t>86</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02427E">
        <w:rPr>
          <w:bCs/>
          <w:sz w:val="28"/>
          <w:szCs w:val="28"/>
          <w:lang w:eastAsia="zh-CN"/>
        </w:rPr>
        <w:t>Переоформление удостоверения о захоронении</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D9615F">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D9615F" w:rsidRPr="00D9615F">
        <w:rPr>
          <w:sz w:val="28"/>
          <w:szCs w:val="28"/>
          <w:lang w:eastAsia="zh-CN"/>
        </w:rPr>
        <w:t>«Переоформление удостоверения о захоронении»</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0015334C">
        <w:rPr>
          <w:sz w:val="28"/>
          <w:szCs w:val="20"/>
          <w:lang w:eastAsia="zh-CN"/>
        </w:rPr>
        <w:t xml:space="preserve">          </w:t>
      </w:r>
      <w:r w:rsidR="00114C95" w:rsidRPr="0003103E">
        <w:rPr>
          <w:sz w:val="28"/>
          <w:szCs w:val="20"/>
          <w:lang w:eastAsia="zh-CN"/>
        </w:rPr>
        <w:t xml:space="preserve"> </w:t>
      </w:r>
      <w:r w:rsidRPr="0003103E">
        <w:rPr>
          <w:sz w:val="28"/>
          <w:szCs w:val="20"/>
          <w:lang w:eastAsia="zh-CN"/>
        </w:rPr>
        <w:t>О.В.</w:t>
      </w:r>
      <w:r w:rsidR="00430160">
        <w:rPr>
          <w:sz w:val="28"/>
          <w:szCs w:val="20"/>
          <w:lang w:eastAsia="zh-CN"/>
        </w:rPr>
        <w:t xml:space="preserve"> </w:t>
      </w:r>
      <w:proofErr w:type="spellStart"/>
      <w:r w:rsidRPr="0003103E">
        <w:rPr>
          <w:sz w:val="28"/>
          <w:szCs w:val="20"/>
          <w:lang w:eastAsia="zh-CN"/>
        </w:rPr>
        <w:t>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15334C">
        <w:rPr>
          <w:bCs/>
          <w:sz w:val="28"/>
          <w:szCs w:val="28"/>
        </w:rPr>
        <w:t>13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Pr>
          <w:bCs/>
          <w:sz w:val="28"/>
          <w:szCs w:val="28"/>
        </w:rPr>
        <w:t xml:space="preserve"> </w:t>
      </w:r>
      <w:r w:rsidR="0015334C">
        <w:rPr>
          <w:bCs/>
          <w:sz w:val="28"/>
          <w:szCs w:val="28"/>
        </w:rPr>
        <w:t>86</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D9615F" w:rsidRDefault="00114C95" w:rsidP="00D9615F">
      <w:pPr>
        <w:pStyle w:val="a8"/>
        <w:ind w:firstLine="0"/>
        <w:rPr>
          <w:b/>
          <w:bCs/>
          <w:sz w:val="28"/>
        </w:rPr>
      </w:pPr>
      <w:r w:rsidRPr="0003103E">
        <w:rPr>
          <w:b/>
          <w:bCs/>
          <w:sz w:val="28"/>
        </w:rPr>
        <w:t xml:space="preserve">предоставления муниципальной услуги </w:t>
      </w:r>
      <w:r w:rsidR="00D9615F" w:rsidRPr="00D9615F">
        <w:rPr>
          <w:b/>
          <w:bCs/>
          <w:sz w:val="28"/>
        </w:rPr>
        <w:t>«Переоформление удостоверения о захоронении»</w:t>
      </w:r>
    </w:p>
    <w:p w:rsidR="00CD6C5D" w:rsidRPr="0003103E" w:rsidRDefault="00D9615F" w:rsidP="00D9615F">
      <w:pPr>
        <w:pStyle w:val="a8"/>
        <w:ind w:firstLine="0"/>
        <w:rPr>
          <w:b/>
          <w:bCs/>
        </w:rPr>
      </w:pPr>
      <w:r>
        <w:rPr>
          <w:b/>
          <w:bCs/>
          <w:sz w:val="28"/>
        </w:rPr>
        <w:t xml:space="preserve">                                               </w:t>
      </w:r>
      <w:r w:rsidR="00114C95"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Административный регламент предоставления муниципальной услуги </w:t>
      </w:r>
      <w:r w:rsidR="00D9615F" w:rsidRPr="00D9615F">
        <w:rPr>
          <w:sz w:val="28"/>
        </w:rPr>
        <w:t xml:space="preserve">«Переоформление удостоверения о захоронении»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lastRenderedPageBreak/>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w:t>
      </w:r>
      <w:r w:rsidRPr="0003103E">
        <w:rPr>
          <w:sz w:val="28"/>
        </w:rPr>
        <w:lastRenderedPageBreak/>
        <w:t>подготовившего ответ).</w:t>
      </w:r>
    </w:p>
    <w:p w:rsidR="00CD6C5D" w:rsidRPr="0003103E" w:rsidRDefault="00114C95">
      <w:pPr>
        <w:pStyle w:val="a8"/>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w:t>
      </w:r>
      <w:r w:rsidRPr="0003103E">
        <w:rPr>
          <w:sz w:val="28"/>
        </w:rPr>
        <w:lastRenderedPageBreak/>
        <w:t xml:space="preserve">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2.1. Наим</w:t>
      </w:r>
      <w:r w:rsidR="00D9615F">
        <w:rPr>
          <w:sz w:val="28"/>
        </w:rPr>
        <w:t xml:space="preserve">енование муниципальной услуги – </w:t>
      </w:r>
      <w:r w:rsidR="00D9615F" w:rsidRPr="00D9615F">
        <w:rPr>
          <w:sz w:val="28"/>
        </w:rPr>
        <w:t xml:space="preserve">Переоформление </w:t>
      </w:r>
      <w:r w:rsidR="00D9615F">
        <w:rPr>
          <w:sz w:val="28"/>
        </w:rPr>
        <w:t>удостоверения о захоронении</w:t>
      </w:r>
      <w:r w:rsidR="00DD1398">
        <w:rPr>
          <w:sz w:val="28"/>
        </w:rPr>
        <w:t>.</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решение о </w:t>
      </w:r>
      <w:r w:rsidR="00D9615F">
        <w:rPr>
          <w:color w:val="auto"/>
          <w:sz w:val="28"/>
          <w:szCs w:val="28"/>
        </w:rPr>
        <w:t>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lastRenderedPageBreak/>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02427E">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Заявление </w:t>
      </w:r>
      <w:r w:rsidR="00D9615F">
        <w:rPr>
          <w:color w:val="auto"/>
          <w:sz w:val="28"/>
          <w:szCs w:val="28"/>
        </w:rPr>
        <w:t>о 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00D9615F">
        <w:rPr>
          <w:color w:val="auto"/>
          <w:sz w:val="28"/>
          <w:szCs w:val="28"/>
        </w:rPr>
        <w:t xml:space="preserve"> </w:t>
      </w:r>
      <w:r w:rsidR="00D9615F" w:rsidRPr="00D9615F">
        <w:rPr>
          <w:color w:val="auto"/>
          <w:sz w:val="28"/>
          <w:szCs w:val="28"/>
        </w:rPr>
        <w:t xml:space="preserve"> </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561F47">
        <w:rPr>
          <w:color w:val="auto"/>
          <w:sz w:val="28"/>
          <w:szCs w:val="28"/>
        </w:rPr>
        <w:t>(Свидетельство о смерти)</w:t>
      </w:r>
      <w:r w:rsidR="00561F47" w:rsidRPr="004312EA">
        <w:rPr>
          <w:color w:val="auto"/>
          <w:sz w:val="28"/>
          <w:szCs w:val="28"/>
        </w:rPr>
        <w:t xml:space="preserve"> </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312EA">
        <w:rPr>
          <w:color w:val="auto"/>
          <w:sz w:val="28"/>
          <w:szCs w:val="28"/>
        </w:rPr>
        <w:t xml:space="preserve"> </w:t>
      </w:r>
      <w:proofErr w:type="gramStart"/>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4312EA">
        <w:rPr>
          <w:color w:val="auto"/>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12EA">
        <w:rPr>
          <w:color w:val="auto"/>
          <w:sz w:val="28"/>
          <w:szCs w:val="28"/>
        </w:rPr>
        <w:t xml:space="preserve"> </w:t>
      </w:r>
      <w:proofErr w:type="gramStart"/>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4312EA">
        <w:rPr>
          <w:color w:val="auto"/>
          <w:sz w:val="28"/>
          <w:szCs w:val="28"/>
        </w:rPr>
        <w:t xml:space="preserve">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lastRenderedPageBreak/>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w:t>
      </w:r>
      <w:r w:rsidRPr="0003103E">
        <w:rPr>
          <w:sz w:val="28"/>
        </w:rPr>
        <w:lastRenderedPageBreak/>
        <w:t xml:space="preserve">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lastRenderedPageBreak/>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lastRenderedPageBreak/>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xml:space="preserve">-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w:t>
      </w:r>
      <w:r w:rsidRPr="0003103E">
        <w:rPr>
          <w:sz w:val="28"/>
        </w:rPr>
        <w:lastRenderedPageBreak/>
        <w:t>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w:t>
      </w:r>
      <w:r w:rsidRPr="0003103E">
        <w:rPr>
          <w:sz w:val="28"/>
        </w:rPr>
        <w:lastRenderedPageBreak/>
        <w:t xml:space="preserve">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xml:space="preserve">-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w:t>
      </w:r>
      <w:r w:rsidRPr="0003103E">
        <w:rPr>
          <w:sz w:val="28"/>
        </w:rPr>
        <w:lastRenderedPageBreak/>
        <w:t>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lastRenderedPageBreak/>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 xml:space="preserve">3.6.7. Сотрудник администрации, ответственный за регистрацию поступающих заявок, регистрирует заявку и прилагаемые к ней документы в </w:t>
      </w:r>
      <w:r w:rsidRPr="0003103E">
        <w:rPr>
          <w:sz w:val="28"/>
        </w:rPr>
        <w:lastRenderedPageBreak/>
        <w:t>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lastRenderedPageBreak/>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3103E">
        <w:rPr>
          <w:sz w:val="28"/>
        </w:rPr>
        <w:lastRenderedPageBreak/>
        <w:t>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3103E">
        <w:rPr>
          <w:sz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03103E">
        <w:rPr>
          <w:sz w:val="28"/>
        </w:rPr>
        <w:lastRenderedPageBreak/>
        <w:t xml:space="preserve">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03103E">
        <w:rPr>
          <w:sz w:val="28"/>
        </w:rPr>
        <w:lastRenderedPageBreak/>
        <w:t>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02427E" w:rsidRPr="0002427E" w:rsidRDefault="00944DE4" w:rsidP="00944DE4">
      <w:pPr>
        <w:pStyle w:val="ConsPlusNormal0"/>
        <w:jc w:val="right"/>
        <w:outlineLvl w:val="1"/>
        <w:rPr>
          <w:rFonts w:ascii="Times New Roman" w:hAnsi="Times New Roman" w:cs="Times New Roman"/>
          <w:sz w:val="24"/>
        </w:rPr>
      </w:pPr>
      <w:r>
        <w:rPr>
          <w:rFonts w:ascii="Times New Roman" w:hAnsi="Times New Roman" w:cs="Times New Roman"/>
          <w:sz w:val="24"/>
        </w:rPr>
        <w:t xml:space="preserve">                                                                                 </w:t>
      </w:r>
      <w:r w:rsidR="0002427E" w:rsidRPr="0002427E">
        <w:rPr>
          <w:rFonts w:ascii="Times New Roman" w:hAnsi="Times New Roman" w:cs="Times New Roman"/>
          <w:sz w:val="24"/>
        </w:rPr>
        <w:t xml:space="preserve">Приложение </w:t>
      </w:r>
      <w:r w:rsidR="0002427E">
        <w:rPr>
          <w:rFonts w:ascii="Times New Roman" w:hAnsi="Times New Roman" w:cs="Times New Roman"/>
          <w:sz w:val="24"/>
        </w:rPr>
        <w:t>1</w:t>
      </w:r>
    </w:p>
    <w:p w:rsidR="0002427E" w:rsidRPr="0002427E" w:rsidRDefault="0002427E" w:rsidP="00944DE4">
      <w:pPr>
        <w:pStyle w:val="ConsPlusNormal0"/>
        <w:jc w:val="right"/>
        <w:outlineLvl w:val="1"/>
        <w:rPr>
          <w:rFonts w:ascii="Times New Roman" w:hAnsi="Times New Roman" w:cs="Times New Roman"/>
          <w:sz w:val="24"/>
        </w:rPr>
      </w:pP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Образец заявления о предоставлении муниципальной услуги</w:t>
      </w: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 xml:space="preserve">В </w:t>
      </w:r>
      <w:r>
        <w:rPr>
          <w:rFonts w:ascii="Times New Roman" w:hAnsi="Times New Roman" w:cs="Times New Roman"/>
          <w:sz w:val="24"/>
        </w:rPr>
        <w:t>А</w:t>
      </w:r>
      <w:r w:rsidRPr="0002427E">
        <w:rPr>
          <w:rFonts w:ascii="Times New Roman" w:hAnsi="Times New Roman" w:cs="Times New Roman"/>
          <w:sz w:val="24"/>
        </w:rPr>
        <w:t xml:space="preserve">дминистрацию Ивановского сельского поселения </w:t>
      </w:r>
    </w:p>
    <w:p w:rsidR="0002427E" w:rsidRPr="0002427E" w:rsidRDefault="0002427E" w:rsidP="0002427E">
      <w:pPr>
        <w:pStyle w:val="ConsPlusNormal0"/>
        <w:outlineLvl w:val="1"/>
        <w:rPr>
          <w:rFonts w:ascii="Times New Roman" w:hAnsi="Times New Roman" w:cs="Times New Roman"/>
          <w:sz w:val="24"/>
        </w:rPr>
      </w:pPr>
      <w:r>
        <w:rPr>
          <w:rFonts w:ascii="Times New Roman" w:hAnsi="Times New Roman" w:cs="Times New Roman"/>
          <w:sz w:val="24"/>
        </w:rPr>
        <w:t xml:space="preserve"> </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lastRenderedPageBreak/>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от кого 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proofErr w:type="gramStart"/>
      <w:r w:rsidRPr="0002427E">
        <w:rPr>
          <w:rFonts w:ascii="Times New Roman" w:hAnsi="Times New Roman" w:cs="Times New Roman"/>
          <w:sz w:val="24"/>
        </w:rPr>
        <w:t>(фамилия, имя, отчество лица, взявшего на себя обязанность</w:t>
      </w:r>
      <w:proofErr w:type="gramEnd"/>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осуществить погребение </w:t>
      </w:r>
      <w:proofErr w:type="gramStart"/>
      <w:r w:rsidRPr="0002427E">
        <w:rPr>
          <w:rFonts w:ascii="Times New Roman" w:hAnsi="Times New Roman" w:cs="Times New Roman"/>
          <w:sz w:val="24"/>
        </w:rPr>
        <w:t>умершего</w:t>
      </w:r>
      <w:proofErr w:type="gramEnd"/>
      <w:r w:rsidRPr="0002427E">
        <w:rPr>
          <w:rFonts w:ascii="Times New Roman" w:hAnsi="Times New Roman" w:cs="Times New Roman"/>
          <w:sz w:val="24"/>
        </w:rPr>
        <w:t>, паспортные данные,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место регистрации, телефон)</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ЗАЯВЛЕНИЕ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Прошу внести изменения в удостоверение о захоронении </w:t>
      </w:r>
      <w:proofErr w:type="gramStart"/>
      <w:r w:rsidRPr="0002427E">
        <w:rPr>
          <w:rFonts w:ascii="Times New Roman" w:hAnsi="Times New Roman" w:cs="Times New Roman"/>
          <w:sz w:val="24"/>
        </w:rPr>
        <w:t>на</w:t>
      </w:r>
      <w:proofErr w:type="gramEnd"/>
      <w:r w:rsidRPr="0002427E">
        <w:rPr>
          <w:rFonts w:ascii="Times New Roman" w:hAnsi="Times New Roman" w:cs="Times New Roman"/>
          <w:sz w:val="24"/>
        </w:rPr>
        <w:t xml:space="preserve"> умершего    _____________________________________________________________________________________________________________________________________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(фамилия, имя, отчество </w:t>
      </w:r>
      <w:proofErr w:type="gramStart"/>
      <w:r w:rsidRPr="0002427E">
        <w:rPr>
          <w:rFonts w:ascii="Times New Roman" w:hAnsi="Times New Roman" w:cs="Times New Roman"/>
          <w:sz w:val="24"/>
        </w:rPr>
        <w:t>умершего</w:t>
      </w:r>
      <w:proofErr w:type="gramEnd"/>
      <w:r w:rsidRPr="0002427E">
        <w:rPr>
          <w:rFonts w:ascii="Times New Roman" w:hAnsi="Times New Roman" w:cs="Times New Roman"/>
          <w:sz w:val="24"/>
        </w:rPr>
        <w:t>)</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дата смерти _________________________</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и выдать удостоверение о семейном (родовом, родственном) захоронении</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на_____________________________________________________ кладбище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на мое имя в связи </w:t>
      </w:r>
      <w:proofErr w:type="gramStart"/>
      <w:r w:rsidRPr="0002427E">
        <w:rPr>
          <w:rFonts w:ascii="Times New Roman" w:hAnsi="Times New Roman" w:cs="Times New Roman"/>
          <w:sz w:val="24"/>
        </w:rPr>
        <w:t>с</w:t>
      </w:r>
      <w:proofErr w:type="gramEnd"/>
      <w:r w:rsidRPr="0002427E">
        <w:rPr>
          <w:rFonts w:ascii="Times New Roman" w:hAnsi="Times New Roman" w:cs="Times New Roman"/>
          <w:sz w:val="24"/>
        </w:rPr>
        <w:t xml:space="preserve"> 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(указать причину)</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Прилагаю копии документов:</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Способ получения результата предоставления муниципальной услуги:</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(указать способ)</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 Обязуюсь  содержать место погребения.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___________________________________ </w:t>
      </w:r>
      <w:r w:rsidRPr="0002427E">
        <w:rPr>
          <w:rFonts w:ascii="Times New Roman" w:hAnsi="Times New Roman" w:cs="Times New Roman"/>
          <w:sz w:val="24"/>
        </w:rPr>
        <w:tab/>
        <w:t>_____________________   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(подпись заявителя)</w:t>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(расшифровка подписи)     (дата)</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Результат муниципальной услуги выдать следующим способом:</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администрацию Ивановского сельского поселения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почтовым отправлением на адрес, указанный в заявлении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многофункциональный центр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ind w:firstLine="0"/>
        <w:outlineLvl w:val="1"/>
        <w:rPr>
          <w:rFonts w:ascii="Times New Roman" w:hAnsi="Times New Roman" w:cs="Times New Roman"/>
          <w:sz w:val="24"/>
        </w:rPr>
      </w:pPr>
      <w:r w:rsidRPr="0002427E">
        <w:rPr>
          <w:rFonts w:ascii="Times New Roman" w:hAnsi="Times New Roman" w:cs="Times New Roman"/>
          <w:sz w:val="24"/>
        </w:rPr>
        <w:t>&lt;&lt;Обратная сторона заявления&gt;&gt;</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02427E">
        <w:rPr>
          <w:rFonts w:ascii="Times New Roman" w:hAnsi="Times New Roman" w:cs="Times New Roman"/>
          <w:sz w:val="24"/>
        </w:rPr>
        <w:t>предупрежден</w:t>
      </w:r>
      <w:proofErr w:type="gramEnd"/>
    </w:p>
    <w:p w:rsidR="0002427E" w:rsidRPr="0002427E" w:rsidRDefault="0002427E" w:rsidP="00944DE4">
      <w:pPr>
        <w:pStyle w:val="ConsPlusNormal0"/>
        <w:jc w:val="both"/>
        <w:outlineLvl w:val="1"/>
        <w:rPr>
          <w:rFonts w:ascii="Times New Roman" w:hAnsi="Times New Roman" w:cs="Times New Roman"/>
          <w:sz w:val="24"/>
        </w:rPr>
      </w:pP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944DE4">
      <w:pPr>
        <w:widowControl w:val="0"/>
        <w:autoSpaceDE w:val="0"/>
        <w:autoSpaceDN w:val="0"/>
        <w:adjustRightInd w:val="0"/>
        <w:jc w:val="both"/>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_____________            __________________________________________</w:t>
      </w:r>
    </w:p>
    <w:p w:rsidR="0002427E" w:rsidRPr="0003103E" w:rsidRDefault="0002427E" w:rsidP="0002427E">
      <w:pPr>
        <w:pStyle w:val="ConsPlusNormal0"/>
        <w:widowControl/>
        <w:ind w:firstLine="0"/>
        <w:outlineLvl w:val="1"/>
        <w:rPr>
          <w:rFonts w:ascii="Times New Roman" w:hAnsi="Times New Roman" w:cs="Times New Roman"/>
        </w:rPr>
      </w:pPr>
      <w:r w:rsidRPr="0002427E">
        <w:rPr>
          <w:rFonts w:ascii="Times New Roman" w:hAnsi="Times New Roman" w:cs="Times New Roman"/>
          <w:sz w:val="24"/>
        </w:rPr>
        <w:t>(подпись заявителя)                         (Ф.И.О. заявителя, полностью)</w:t>
      </w: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944DE4" w:rsidRDefault="00944DE4" w:rsidP="00944DE4">
      <w:pPr>
        <w:pStyle w:val="ConsPlusNormal0"/>
        <w:ind w:firstLine="0"/>
        <w:outlineLvl w:val="1"/>
        <w:rPr>
          <w:rFonts w:ascii="Times New Roman" w:hAnsi="Times New Roman" w:cs="Times New Roman"/>
          <w:sz w:val="24"/>
        </w:rPr>
      </w:pPr>
      <w:r>
        <w:rPr>
          <w:rFonts w:ascii="Times New Roman" w:hAnsi="Times New Roman" w:cs="Times New Roman"/>
          <w:sz w:val="24"/>
        </w:rPr>
        <w:t xml:space="preserve">                                                                                                                                    </w:t>
      </w:r>
      <w:r w:rsidR="00D9615F">
        <w:rPr>
          <w:rFonts w:ascii="Times New Roman" w:hAnsi="Times New Roman" w:cs="Times New Roman"/>
          <w:sz w:val="24"/>
        </w:rPr>
        <w:t xml:space="preserve"> </w:t>
      </w:r>
    </w:p>
    <w:p w:rsidR="00944DE4" w:rsidRDefault="00944DE4" w:rsidP="00944DE4">
      <w:pPr>
        <w:pStyle w:val="ConsPlusNormal0"/>
        <w:ind w:firstLine="0"/>
        <w:outlineLvl w:val="1"/>
        <w:rPr>
          <w:rFonts w:ascii="Times New Roman" w:hAnsi="Times New Roman" w:cs="Times New Roman"/>
          <w:sz w:val="24"/>
        </w:rPr>
      </w:pPr>
    </w:p>
    <w:p w:rsidR="0002427E" w:rsidRPr="0002427E" w:rsidRDefault="00944DE4" w:rsidP="00944DE4">
      <w:pPr>
        <w:pStyle w:val="ConsPlusNormal0"/>
        <w:ind w:firstLine="0"/>
        <w:outlineLvl w:val="1"/>
        <w:rPr>
          <w:rFonts w:ascii="Times New Roman" w:hAnsi="Times New Roman" w:cs="Times New Roman"/>
          <w:sz w:val="24"/>
        </w:rPr>
      </w:pPr>
      <w:r>
        <w:rPr>
          <w:rFonts w:ascii="Times New Roman" w:hAnsi="Times New Roman" w:cs="Times New Roman"/>
          <w:sz w:val="24"/>
        </w:rPr>
        <w:t xml:space="preserve">                                                                                                                                    </w:t>
      </w:r>
      <w:r w:rsidR="0002427E" w:rsidRPr="0002427E">
        <w:rPr>
          <w:rFonts w:ascii="Times New Roman" w:hAnsi="Times New Roman" w:cs="Times New Roman"/>
          <w:sz w:val="24"/>
        </w:rPr>
        <w:t>Приложение 2</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lastRenderedPageBreak/>
        <w:t xml:space="preserve">Блок- схема предоставления муниципальной услуги по перерегистрации захоронений на других лиц и оформление удостоверений о захоронении на территории Ивановского сельского поселения </w:t>
      </w:r>
    </w:p>
    <w:p w:rsidR="0002427E" w:rsidRPr="0002427E" w:rsidRDefault="0002427E" w:rsidP="0002427E">
      <w:pPr>
        <w:pStyle w:val="ConsPlusNormal0"/>
        <w:outlineLvl w:val="1"/>
        <w:rPr>
          <w:rFonts w:ascii="Times New Roman" w:hAnsi="Times New Roman" w:cs="Times New Roman"/>
          <w:sz w:val="24"/>
        </w:rPr>
      </w:pPr>
      <w:r w:rsidRPr="004F5C20">
        <w:rPr>
          <w:rFonts w:cs="Times New Roman"/>
        </w:rPr>
        <w:object w:dxaOrig="10850" w:dyaOrig="1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459.75pt" o:ole="">
            <v:imagedata r:id="rId6" o:title=""/>
          </v:shape>
          <o:OLEObject Type="Embed" ProgID="Msxml2.SAXXMLReader.5.0" ShapeID="_x0000_i1025" DrawAspect="Content" ObjectID="_1700905887" r:id="rId7"/>
        </w:objec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w:t>
      </w: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CD6C5D" w:rsidRPr="0003103E" w:rsidRDefault="00CD6C5D" w:rsidP="0002427E">
      <w:pPr>
        <w:pStyle w:val="ConsPlusNormal0"/>
        <w:widowControl/>
        <w:ind w:firstLine="0"/>
        <w:outlineLvl w:val="1"/>
        <w:rPr>
          <w:rFonts w:ascii="Times New Roman" w:hAnsi="Times New Roman" w:cs="Times New Roman"/>
        </w:rPr>
      </w:pPr>
    </w:p>
    <w:sectPr w:rsidR="00CD6C5D" w:rsidRPr="0003103E" w:rsidSect="00730FA8">
      <w:pgSz w:w="11906" w:h="16838"/>
      <w:pgMar w:top="709"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CD6C5D"/>
    <w:rsid w:val="0002427E"/>
    <w:rsid w:val="0003103E"/>
    <w:rsid w:val="00032000"/>
    <w:rsid w:val="00061879"/>
    <w:rsid w:val="00067111"/>
    <w:rsid w:val="000A5717"/>
    <w:rsid w:val="000C6F8F"/>
    <w:rsid w:val="000F24D2"/>
    <w:rsid w:val="00104BD3"/>
    <w:rsid w:val="00114C95"/>
    <w:rsid w:val="00120EFE"/>
    <w:rsid w:val="0015334C"/>
    <w:rsid w:val="00174959"/>
    <w:rsid w:val="00186BA1"/>
    <w:rsid w:val="00345E95"/>
    <w:rsid w:val="00374F8B"/>
    <w:rsid w:val="0038240B"/>
    <w:rsid w:val="00401DA1"/>
    <w:rsid w:val="00430160"/>
    <w:rsid w:val="004312EA"/>
    <w:rsid w:val="00480580"/>
    <w:rsid w:val="00497947"/>
    <w:rsid w:val="00561F47"/>
    <w:rsid w:val="0063692B"/>
    <w:rsid w:val="00705595"/>
    <w:rsid w:val="00730FA8"/>
    <w:rsid w:val="00787C30"/>
    <w:rsid w:val="007D4EF5"/>
    <w:rsid w:val="007E4B6A"/>
    <w:rsid w:val="008905EF"/>
    <w:rsid w:val="008D1748"/>
    <w:rsid w:val="00944DE4"/>
    <w:rsid w:val="00945421"/>
    <w:rsid w:val="00993CAF"/>
    <w:rsid w:val="009A0CA0"/>
    <w:rsid w:val="009B1A2A"/>
    <w:rsid w:val="009B2759"/>
    <w:rsid w:val="009C09D1"/>
    <w:rsid w:val="009C19C5"/>
    <w:rsid w:val="009D560C"/>
    <w:rsid w:val="009F5C68"/>
    <w:rsid w:val="00A5258B"/>
    <w:rsid w:val="00A5587A"/>
    <w:rsid w:val="00B06B3A"/>
    <w:rsid w:val="00B52E21"/>
    <w:rsid w:val="00B8018B"/>
    <w:rsid w:val="00C41383"/>
    <w:rsid w:val="00C60117"/>
    <w:rsid w:val="00C835D9"/>
    <w:rsid w:val="00CB21F0"/>
    <w:rsid w:val="00CB62D8"/>
    <w:rsid w:val="00CD6C5D"/>
    <w:rsid w:val="00D9615F"/>
    <w:rsid w:val="00D9790E"/>
    <w:rsid w:val="00DD1398"/>
    <w:rsid w:val="00E85067"/>
    <w:rsid w:val="00F0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26</Pages>
  <Words>9093</Words>
  <Characters>51832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29</cp:revision>
  <cp:lastPrinted>2020-02-18T07:30:00Z</cp:lastPrinted>
  <dcterms:created xsi:type="dcterms:W3CDTF">2019-07-10T06:01:00Z</dcterms:created>
  <dcterms:modified xsi:type="dcterms:W3CDTF">2021-12-13T10:05:00Z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